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Amgen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001-37702</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8"/>
                <w:szCs w:val="18"/>
                <w:b w:val="1"/>
                <w:bCs w:val="1"/>
                <w:color w:val="auto"/>
                <w:w w:val="98"/>
              </w:rPr>
              <w:t>95-3540776</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One Amgen Center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Thousand Oaks, California</w:t>
            </w:r>
          </w:p>
        </w:tc>
        <w:tc>
          <w:tcPr>
            <w:tcW w:w="2800" w:type="dxa"/>
            <w:vAlign w:val="bottom"/>
          </w:tcPr>
          <w:p>
            <w:pPr>
              <w:spacing w:after="0"/>
              <w:rPr>
                <w:sz w:val="19"/>
                <w:szCs w:val="19"/>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8"/>
                <w:szCs w:val="18"/>
                <w:b w:val="1"/>
                <w:bCs w:val="1"/>
                <w:color w:val="auto"/>
                <w:w w:val="98"/>
              </w:rPr>
              <w:t>91320-1799</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447-1000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AMGN</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left="120" w:right="100" w:firstLine="401"/>
        <w:spacing w:after="0" w:line="282" w:lineRule="auto"/>
        <w:rPr>
          <w:sz w:val="20"/>
          <w:szCs w:val="20"/>
          <w:color w:val="auto"/>
        </w:rPr>
      </w:pPr>
      <w:r>
        <w:rPr>
          <w:rFonts w:ascii="Times New Roman" w:cs="Times New Roman" w:eastAsia="Times New Roman" w:hAnsi="Times New Roman"/>
          <w:sz w:val="18"/>
          <w:szCs w:val="18"/>
          <w:color w:val="202529"/>
        </w:rPr>
        <w:t>The Company held its Annual Meeting on May 19, 2026. The final results of the voting for each matter submitted to a vote of stockholders at the meeting are as follows:</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202529"/>
        </w:rPr>
        <w:t>Item 1 - Election of Directors</w:t>
      </w:r>
    </w:p>
    <w:p>
      <w:pPr>
        <w:spacing w:after="0" w:line="171" w:lineRule="exact"/>
        <w:rPr>
          <w:sz w:val="20"/>
          <w:szCs w:val="20"/>
          <w:color w:val="auto"/>
        </w:rPr>
      </w:pPr>
    </w:p>
    <w:p>
      <w:pPr>
        <w:jc w:val="both"/>
        <w:ind w:left="120" w:right="100" w:firstLine="401"/>
        <w:spacing w:after="0" w:line="266" w:lineRule="auto"/>
        <w:rPr>
          <w:sz w:val="20"/>
          <w:szCs w:val="20"/>
          <w:color w:val="auto"/>
        </w:rPr>
      </w:pPr>
      <w:r>
        <w:rPr>
          <w:rFonts w:ascii="Times New Roman" w:cs="Times New Roman" w:eastAsia="Times New Roman" w:hAnsi="Times New Roman"/>
          <w:sz w:val="18"/>
          <w:szCs w:val="18"/>
          <w:color w:val="202529"/>
        </w:rPr>
        <w:t>Each of the following 12 nominees for director were elected to serve a one-year term expiring at the Company’s 2027 annual meeting of stockholders and until his or her successor is elected and qualified, or until his or her earlier retirement, resignation, disqualification, removal or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1713865" cy="334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3865" cy="334010"/>
                    </a:xfrm>
                    <a:prstGeom prst="rect">
                      <a:avLst/>
                    </a:prstGeom>
                    <a:noFill/>
                  </pic:spPr>
                </pic:pic>
              </a:graphicData>
            </a:graphic>
          </wp:anchor>
        </w:drawing>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Broker</w:t>
            </w:r>
          </w:p>
        </w:tc>
      </w:tr>
      <w:tr>
        <w:trPr>
          <w:trHeight w:val="255"/>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Votes For</w:t>
            </w:r>
          </w:p>
        </w:tc>
        <w:tc>
          <w:tcPr>
            <w:tcW w:w="17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Votes Against</w:t>
            </w:r>
          </w:p>
        </w:tc>
        <w:tc>
          <w:tcPr>
            <w:tcW w:w="1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Abstain</w:t>
            </w:r>
          </w:p>
        </w:tc>
        <w:tc>
          <w:tcPr>
            <w:tcW w:w="17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Non-Votes</w:t>
            </w:r>
          </w:p>
        </w:tc>
      </w:tr>
      <w:tr>
        <w:trPr>
          <w:trHeight w:val="216"/>
        </w:trPr>
        <w:tc>
          <w:tcPr>
            <w:tcW w:w="2660" w:type="dxa"/>
            <w:vAlign w:val="bottom"/>
            <w:tcBorders>
              <w:left w:val="single" w:sz="8" w:color="auto"/>
              <w:bottom w:val="single" w:sz="8" w:color="auto"/>
              <w:right w:val="single" w:sz="8" w:color="auto"/>
            </w:tcBorders>
            <w:shd w:val="clear" w:color="auto" w:fill="CCE2F2"/>
          </w:tcPr>
          <w:p>
            <w:pPr>
              <w:ind w:left="100"/>
              <w:spacing w:after="0"/>
              <w:rPr>
                <w:sz w:val="20"/>
                <w:szCs w:val="20"/>
                <w:color w:val="auto"/>
              </w:rPr>
            </w:pPr>
            <w:r>
              <w:rPr>
                <w:rFonts w:ascii="Times New Roman" w:cs="Times New Roman" w:eastAsia="Times New Roman" w:hAnsi="Times New Roman"/>
                <w:sz w:val="18"/>
                <w:szCs w:val="18"/>
                <w:color w:val="auto"/>
              </w:rPr>
              <w:t>Dr. Wanda M. Austin</w:t>
            </w:r>
          </w:p>
        </w:tc>
        <w:tc>
          <w:tcPr>
            <w:tcW w:w="1780" w:type="dxa"/>
            <w:vAlign w:val="bottom"/>
            <w:tcBorders>
              <w:top w:val="single" w:sz="8" w:color="auto"/>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408,261,366</w:t>
            </w:r>
          </w:p>
        </w:tc>
        <w:tc>
          <w:tcPr>
            <w:tcW w:w="1760" w:type="dxa"/>
            <w:vAlign w:val="bottom"/>
            <w:tcBorders>
              <w:top w:val="single" w:sz="8" w:color="auto"/>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4,136,960</w:t>
            </w:r>
          </w:p>
        </w:tc>
        <w:tc>
          <w:tcPr>
            <w:tcW w:w="1780" w:type="dxa"/>
            <w:vAlign w:val="bottom"/>
            <w:tcBorders>
              <w:top w:val="single" w:sz="8" w:color="auto"/>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541,141</w:t>
            </w:r>
          </w:p>
        </w:tc>
        <w:tc>
          <w:tcPr>
            <w:tcW w:w="1760" w:type="dxa"/>
            <w:vAlign w:val="bottom"/>
            <w:tcBorders>
              <w:top w:val="single" w:sz="8" w:color="auto"/>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Robert A. Bradway</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390,137,618</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20,492,559</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2,309,290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10"/>
        </w:trPr>
        <w:tc>
          <w:tcPr>
            <w:tcW w:w="2660" w:type="dxa"/>
            <w:vAlign w:val="bottom"/>
            <w:tcBorders>
              <w:left w:val="single" w:sz="8" w:color="auto"/>
              <w:bottom w:val="single" w:sz="8" w:color="auto"/>
              <w:right w:val="single" w:sz="8" w:color="auto"/>
            </w:tcBorders>
            <w:shd w:val="clear" w:color="auto" w:fill="CCE2F2"/>
          </w:tcPr>
          <w:p>
            <w:pPr>
              <w:ind w:left="100"/>
              <w:spacing w:after="0"/>
              <w:rPr>
                <w:sz w:val="20"/>
                <w:szCs w:val="20"/>
                <w:color w:val="auto"/>
              </w:rPr>
            </w:pPr>
            <w:r>
              <w:rPr>
                <w:rFonts w:ascii="Times New Roman" w:cs="Times New Roman" w:eastAsia="Times New Roman" w:hAnsi="Times New Roman"/>
                <w:sz w:val="18"/>
                <w:szCs w:val="18"/>
                <w:color w:val="auto"/>
              </w:rPr>
              <w:t>Dr. Michael V. Drake</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407,302,029</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4,797,875</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839,563</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Dr. Brian J. Druker</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409,304,364</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3,054,075</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581,028</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shd w:val="clear" w:color="auto" w:fill="CCE2F2"/>
          </w:tcPr>
          <w:p>
            <w:pPr>
              <w:ind w:left="100"/>
              <w:spacing w:after="0"/>
              <w:rPr>
                <w:sz w:val="20"/>
                <w:szCs w:val="20"/>
                <w:color w:val="auto"/>
              </w:rPr>
            </w:pPr>
            <w:r>
              <w:rPr>
                <w:rFonts w:ascii="Times New Roman" w:cs="Times New Roman" w:eastAsia="Times New Roman" w:hAnsi="Times New Roman"/>
                <w:sz w:val="18"/>
                <w:szCs w:val="18"/>
                <w:color w:val="auto"/>
              </w:rPr>
              <w:t>Mr. Robert A. Eckert</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393,137,908</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19,206,011</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595,548</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1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Greg C. Garland</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390,923,223</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21,425,903</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590,341</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shd w:val="clear" w:color="auto" w:fill="CCE2F2"/>
          </w:tcPr>
          <w:p>
            <w:pPr>
              <w:ind w:left="100"/>
              <w:spacing w:after="0"/>
              <w:rPr>
                <w:sz w:val="20"/>
                <w:szCs w:val="20"/>
                <w:color w:val="auto"/>
              </w:rPr>
            </w:pPr>
            <w:r>
              <w:rPr>
                <w:rFonts w:ascii="Times New Roman" w:cs="Times New Roman" w:eastAsia="Times New Roman" w:hAnsi="Times New Roman"/>
                <w:sz w:val="18"/>
                <w:szCs w:val="18"/>
                <w:color w:val="auto"/>
              </w:rPr>
              <w:t>Mr. Charles M. Holley, Jr.</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402,699,984</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9,642,231</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597,252</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Dr. S. Omar Ishrak</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408,204,077</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4,139,152</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596,238</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10"/>
        </w:trPr>
        <w:tc>
          <w:tcPr>
            <w:tcW w:w="2660" w:type="dxa"/>
            <w:vAlign w:val="bottom"/>
            <w:tcBorders>
              <w:left w:val="single" w:sz="8" w:color="auto"/>
              <w:bottom w:val="single" w:sz="8" w:color="auto"/>
              <w:right w:val="single" w:sz="8" w:color="auto"/>
            </w:tcBorders>
            <w:shd w:val="clear" w:color="auto" w:fill="CCE2F1"/>
          </w:tcPr>
          <w:p>
            <w:pPr>
              <w:ind w:left="100"/>
              <w:spacing w:after="0"/>
              <w:rPr>
                <w:sz w:val="20"/>
                <w:szCs w:val="20"/>
                <w:color w:val="auto"/>
              </w:rPr>
            </w:pPr>
            <w:r>
              <w:rPr>
                <w:rFonts w:ascii="Times New Roman" w:cs="Times New Roman" w:eastAsia="Times New Roman" w:hAnsi="Times New Roman"/>
                <w:sz w:val="18"/>
                <w:szCs w:val="18"/>
                <w:color w:val="auto"/>
              </w:rPr>
              <w:t>Dr. Tyler Jacks</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400,237,518</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12,117,252</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584,697</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Dr. Mary E. Klotman</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407,732,503</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4,398,737</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808,227</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10"/>
        </w:trPr>
        <w:tc>
          <w:tcPr>
            <w:tcW w:w="2660" w:type="dxa"/>
            <w:vAlign w:val="bottom"/>
            <w:tcBorders>
              <w:left w:val="single" w:sz="8" w:color="auto"/>
              <w:bottom w:val="single" w:sz="8" w:color="auto"/>
              <w:right w:val="single" w:sz="8" w:color="auto"/>
            </w:tcBorders>
            <w:shd w:val="clear" w:color="auto" w:fill="CCE2F1"/>
          </w:tcPr>
          <w:p>
            <w:pPr>
              <w:ind w:left="100"/>
              <w:spacing w:after="0"/>
              <w:rPr>
                <w:sz w:val="20"/>
                <w:szCs w:val="20"/>
                <w:color w:val="auto"/>
              </w:rPr>
            </w:pPr>
            <w:r>
              <w:rPr>
                <w:rFonts w:ascii="Times New Roman" w:cs="Times New Roman" w:eastAsia="Times New Roman" w:hAnsi="Times New Roman"/>
                <w:sz w:val="18"/>
                <w:szCs w:val="18"/>
                <w:color w:val="auto"/>
              </w:rPr>
              <w:t>Ms. Ellen J. Kullman</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405,340,175</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6,775,403</w:t>
            </w:r>
          </w:p>
        </w:tc>
        <w:tc>
          <w:tcPr>
            <w:tcW w:w="178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823,889</w:t>
            </w:r>
          </w:p>
        </w:tc>
        <w:tc>
          <w:tcPr>
            <w:tcW w:w="1760" w:type="dxa"/>
            <w:vAlign w:val="bottom"/>
            <w:tcBorders>
              <w:bottom w:val="single" w:sz="8" w:color="auto"/>
              <w:right w:val="single" w:sz="8" w:color="auto"/>
            </w:tcBorders>
            <w:shd w:val="clear" w:color="auto" w:fill="CCE2F2"/>
          </w:tcPr>
          <w:p>
            <w:pPr>
              <w:jc w:val="right"/>
              <w:spacing w:after="0"/>
              <w:rPr>
                <w:sz w:val="20"/>
                <w:szCs w:val="20"/>
                <w:color w:val="auto"/>
              </w:rPr>
            </w:pPr>
            <w:r>
              <w:rPr>
                <w:rFonts w:ascii="Times New Roman" w:cs="Times New Roman" w:eastAsia="Times New Roman" w:hAnsi="Times New Roman"/>
                <w:sz w:val="18"/>
                <w:szCs w:val="18"/>
                <w:color w:val="auto"/>
              </w:rPr>
              <w:t>63,739,635</w:t>
            </w:r>
          </w:p>
        </w:tc>
      </w:tr>
      <w:tr>
        <w:trPr>
          <w:trHeight w:val="209"/>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Ms. Amy E. Miles</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406,709,817</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5,385,886</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843,764</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bl>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202529"/>
        </w:rPr>
        <w:t>Item 2 - Advisory Vote to Approve Our Executive Compensation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02529"/>
        </w:rPr>
        <w:t>The advisory vote to approve our executive compensation was approved.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40" w:type="dxa"/>
            <w:vAlign w:val="bottom"/>
            <w:tcBorders>
              <w:top w:val="single" w:sz="8" w:color="auto"/>
              <w:left w:val="single" w:sz="8" w:color="auto"/>
              <w:bottom w:val="single" w:sz="8" w:color="auto"/>
              <w:right w:val="single" w:sz="8" w:color="auto"/>
            </w:tcBorders>
            <w:shd w:val="clear" w:color="auto" w:fill="CCE2F1"/>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3120" w:type="dxa"/>
            <w:vAlign w:val="bottom"/>
            <w:tcBorders>
              <w:top w:val="single" w:sz="8" w:color="auto"/>
              <w:bottom w:val="single" w:sz="8" w:color="auto"/>
              <w:right w:val="single" w:sz="8" w:color="auto"/>
            </w:tcBorders>
            <w:shd w:val="clear" w:color="auto" w:fill="CCE2F1"/>
          </w:tcPr>
          <w:p>
            <w:pPr>
              <w:jc w:val="right"/>
              <w:spacing w:after="0"/>
              <w:rPr>
                <w:sz w:val="20"/>
                <w:szCs w:val="20"/>
                <w:color w:val="auto"/>
              </w:rPr>
            </w:pPr>
            <w:r>
              <w:rPr>
                <w:rFonts w:ascii="Times New Roman" w:cs="Times New Roman" w:eastAsia="Times New Roman" w:hAnsi="Times New Roman"/>
                <w:sz w:val="18"/>
                <w:szCs w:val="18"/>
                <w:color w:val="auto"/>
              </w:rPr>
              <w:t>399,315,381</w:t>
            </w:r>
          </w:p>
        </w:tc>
      </w:tr>
      <w:tr>
        <w:trPr>
          <w:trHeight w:val="193"/>
        </w:trPr>
        <w:tc>
          <w:tcPr>
            <w:tcW w:w="234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Against:</w:t>
            </w:r>
          </w:p>
        </w:tc>
        <w:tc>
          <w:tcPr>
            <w:tcW w:w="312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11,987,682</w:t>
            </w:r>
          </w:p>
        </w:tc>
      </w:tr>
      <w:tr>
        <w:trPr>
          <w:trHeight w:val="210"/>
        </w:trPr>
        <w:tc>
          <w:tcPr>
            <w:tcW w:w="2340" w:type="dxa"/>
            <w:vAlign w:val="bottom"/>
            <w:tcBorders>
              <w:left w:val="single" w:sz="8" w:color="auto"/>
              <w:bottom w:val="single" w:sz="8" w:color="auto"/>
              <w:right w:val="single" w:sz="8" w:color="auto"/>
            </w:tcBorders>
            <w:shd w:val="clear" w:color="auto" w:fill="CCE2F1"/>
          </w:tcPr>
          <w:p>
            <w:pPr>
              <w:ind w:left="60"/>
              <w:spacing w:after="0"/>
              <w:rPr>
                <w:sz w:val="20"/>
                <w:szCs w:val="20"/>
                <w:color w:val="auto"/>
              </w:rPr>
            </w:pPr>
            <w:r>
              <w:rPr>
                <w:rFonts w:ascii="Times New Roman" w:cs="Times New Roman" w:eastAsia="Times New Roman" w:hAnsi="Times New Roman"/>
                <w:sz w:val="18"/>
                <w:szCs w:val="18"/>
                <w:color w:val="auto"/>
              </w:rPr>
              <w:t>Abstain:</w:t>
            </w:r>
          </w:p>
        </w:tc>
        <w:tc>
          <w:tcPr>
            <w:tcW w:w="3120" w:type="dxa"/>
            <w:vAlign w:val="bottom"/>
            <w:tcBorders>
              <w:bottom w:val="single" w:sz="8" w:color="auto"/>
              <w:right w:val="single" w:sz="8" w:color="auto"/>
            </w:tcBorders>
            <w:shd w:val="clear" w:color="auto" w:fill="CCE2F1"/>
          </w:tcPr>
          <w:p>
            <w:pPr>
              <w:jc w:val="right"/>
              <w:spacing w:after="0"/>
              <w:rPr>
                <w:sz w:val="20"/>
                <w:szCs w:val="20"/>
                <w:color w:val="auto"/>
              </w:rPr>
            </w:pPr>
            <w:r>
              <w:rPr>
                <w:rFonts w:ascii="Times New Roman" w:cs="Times New Roman" w:eastAsia="Times New Roman" w:hAnsi="Times New Roman"/>
                <w:sz w:val="18"/>
                <w:szCs w:val="18"/>
                <w:color w:val="auto"/>
              </w:rPr>
              <w:t>1,636,404</w:t>
            </w:r>
          </w:p>
        </w:tc>
      </w:tr>
      <w:tr>
        <w:trPr>
          <w:trHeight w:val="210"/>
        </w:trPr>
        <w:tc>
          <w:tcPr>
            <w:tcW w:w="23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Broker Non-Votes:</w:t>
            </w:r>
          </w:p>
        </w:tc>
        <w:tc>
          <w:tcPr>
            <w:tcW w:w="3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bl>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202529"/>
        </w:rPr>
        <w:t>Item 3 - Ratification of Selection of Independent Registered Public Accountants</w:t>
      </w:r>
    </w:p>
    <w:p>
      <w:pPr>
        <w:spacing w:after="0" w:line="158" w:lineRule="exact"/>
        <w:rPr>
          <w:sz w:val="20"/>
          <w:szCs w:val="20"/>
          <w:color w:val="auto"/>
        </w:rPr>
      </w:pPr>
    </w:p>
    <w:p>
      <w:pPr>
        <w:ind w:left="120" w:right="600" w:firstLine="401"/>
        <w:spacing w:after="0" w:line="282" w:lineRule="auto"/>
        <w:rPr>
          <w:sz w:val="20"/>
          <w:szCs w:val="20"/>
          <w:color w:val="auto"/>
        </w:rPr>
      </w:pPr>
      <w:r>
        <w:rPr>
          <w:rFonts w:ascii="Times New Roman" w:cs="Times New Roman" w:eastAsia="Times New Roman" w:hAnsi="Times New Roman"/>
          <w:sz w:val="18"/>
          <w:szCs w:val="18"/>
          <w:color w:val="202529"/>
        </w:rPr>
        <w:t>Ernst &amp; Young LLP was ratified as the Company’s independent registered public accountants for the fiscal year ending December 31, 2026. No Broker Non-Votes resulted from the vote on this proposal.</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40" w:type="dxa"/>
            <w:vAlign w:val="bottom"/>
            <w:tcBorders>
              <w:top w:val="single" w:sz="8" w:color="auto"/>
              <w:left w:val="single" w:sz="8" w:color="auto"/>
              <w:bottom w:val="single" w:sz="8" w:color="auto"/>
              <w:right w:val="single" w:sz="8" w:color="auto"/>
            </w:tcBorders>
            <w:shd w:val="clear" w:color="auto" w:fill="CCE2F1"/>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3120" w:type="dxa"/>
            <w:vAlign w:val="bottom"/>
            <w:tcBorders>
              <w:top w:val="single" w:sz="8" w:color="auto"/>
              <w:bottom w:val="single" w:sz="8" w:color="auto"/>
              <w:right w:val="single" w:sz="8" w:color="auto"/>
            </w:tcBorders>
            <w:shd w:val="clear" w:color="auto" w:fill="CCE2F1"/>
          </w:tcPr>
          <w:p>
            <w:pPr>
              <w:jc w:val="right"/>
              <w:spacing w:after="0"/>
              <w:rPr>
                <w:sz w:val="20"/>
                <w:szCs w:val="20"/>
                <w:color w:val="auto"/>
              </w:rPr>
            </w:pPr>
            <w:r>
              <w:rPr>
                <w:rFonts w:ascii="Times New Roman" w:cs="Times New Roman" w:eastAsia="Times New Roman" w:hAnsi="Times New Roman"/>
                <w:sz w:val="18"/>
                <w:szCs w:val="18"/>
                <w:color w:val="auto"/>
              </w:rPr>
              <w:t>447,904,443</w:t>
            </w:r>
          </w:p>
        </w:tc>
      </w:tr>
      <w:tr>
        <w:trPr>
          <w:trHeight w:val="193"/>
        </w:trPr>
        <w:tc>
          <w:tcPr>
            <w:tcW w:w="234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Against:</w:t>
            </w:r>
          </w:p>
        </w:tc>
        <w:tc>
          <w:tcPr>
            <w:tcW w:w="312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28,209,748</w:t>
            </w:r>
          </w:p>
        </w:tc>
      </w:tr>
      <w:tr>
        <w:trPr>
          <w:trHeight w:val="209"/>
        </w:trPr>
        <w:tc>
          <w:tcPr>
            <w:tcW w:w="2340" w:type="dxa"/>
            <w:vAlign w:val="bottom"/>
            <w:tcBorders>
              <w:left w:val="single" w:sz="8" w:color="auto"/>
              <w:bottom w:val="single" w:sz="8" w:color="auto"/>
              <w:right w:val="single" w:sz="8" w:color="auto"/>
            </w:tcBorders>
            <w:shd w:val="clear" w:color="auto" w:fill="CCE2F1"/>
          </w:tcPr>
          <w:p>
            <w:pPr>
              <w:ind w:left="60"/>
              <w:spacing w:after="0"/>
              <w:rPr>
                <w:sz w:val="20"/>
                <w:szCs w:val="20"/>
                <w:color w:val="auto"/>
              </w:rPr>
            </w:pPr>
            <w:r>
              <w:rPr>
                <w:rFonts w:ascii="Times New Roman" w:cs="Times New Roman" w:eastAsia="Times New Roman" w:hAnsi="Times New Roman"/>
                <w:sz w:val="18"/>
                <w:szCs w:val="18"/>
                <w:color w:val="auto"/>
              </w:rPr>
              <w:t>Abstain:</w:t>
            </w:r>
          </w:p>
        </w:tc>
        <w:tc>
          <w:tcPr>
            <w:tcW w:w="3120" w:type="dxa"/>
            <w:vAlign w:val="bottom"/>
            <w:tcBorders>
              <w:bottom w:val="single" w:sz="8" w:color="auto"/>
              <w:right w:val="single" w:sz="8" w:color="auto"/>
            </w:tcBorders>
            <w:shd w:val="clear" w:color="auto" w:fill="CCE2F1"/>
          </w:tcPr>
          <w:p>
            <w:pPr>
              <w:jc w:val="right"/>
              <w:spacing w:after="0"/>
              <w:rPr>
                <w:sz w:val="20"/>
                <w:szCs w:val="20"/>
                <w:color w:val="auto"/>
              </w:rPr>
            </w:pPr>
            <w:r>
              <w:rPr>
                <w:rFonts w:ascii="Times New Roman" w:cs="Times New Roman" w:eastAsia="Times New Roman" w:hAnsi="Times New Roman"/>
                <w:sz w:val="18"/>
                <w:szCs w:val="18"/>
                <w:color w:val="auto"/>
              </w:rPr>
              <w:t>564,911</w:t>
            </w:r>
          </w:p>
        </w:tc>
      </w:tr>
    </w:tbl>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202529"/>
        </w:rPr>
        <w:t>Item 4 - Stockholder Proposal to Require an Independent Board Chairman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02529"/>
        </w:rPr>
        <w:t>The stockholder proposal to require an independent board chairman was not approved.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40" w:type="dxa"/>
            <w:vAlign w:val="bottom"/>
            <w:tcBorders>
              <w:top w:val="single" w:sz="8" w:color="auto"/>
              <w:left w:val="single" w:sz="8" w:color="auto"/>
              <w:bottom w:val="single" w:sz="8" w:color="auto"/>
              <w:right w:val="single" w:sz="8" w:color="auto"/>
            </w:tcBorders>
            <w:shd w:val="clear" w:color="auto" w:fill="CCE2F1"/>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3120" w:type="dxa"/>
            <w:vAlign w:val="bottom"/>
            <w:tcBorders>
              <w:top w:val="single" w:sz="8" w:color="auto"/>
              <w:bottom w:val="single" w:sz="8" w:color="auto"/>
              <w:right w:val="single" w:sz="8" w:color="auto"/>
            </w:tcBorders>
            <w:shd w:val="clear" w:color="auto" w:fill="CCE2F1"/>
          </w:tcPr>
          <w:p>
            <w:pPr>
              <w:jc w:val="right"/>
              <w:spacing w:after="0"/>
              <w:rPr>
                <w:sz w:val="20"/>
                <w:szCs w:val="20"/>
                <w:color w:val="auto"/>
              </w:rPr>
            </w:pPr>
            <w:r>
              <w:rPr>
                <w:rFonts w:ascii="Times New Roman" w:cs="Times New Roman" w:eastAsia="Times New Roman" w:hAnsi="Times New Roman"/>
                <w:sz w:val="18"/>
                <w:szCs w:val="18"/>
                <w:color w:val="auto"/>
              </w:rPr>
              <w:t>72,902,413</w:t>
            </w:r>
          </w:p>
        </w:tc>
      </w:tr>
      <w:tr>
        <w:trPr>
          <w:trHeight w:val="193"/>
        </w:trPr>
        <w:tc>
          <w:tcPr>
            <w:tcW w:w="234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Against:</w:t>
            </w:r>
          </w:p>
        </w:tc>
        <w:tc>
          <w:tcPr>
            <w:tcW w:w="312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338,465,655</w:t>
            </w:r>
          </w:p>
        </w:tc>
      </w:tr>
      <w:tr>
        <w:trPr>
          <w:trHeight w:val="209"/>
        </w:trPr>
        <w:tc>
          <w:tcPr>
            <w:tcW w:w="2340" w:type="dxa"/>
            <w:vAlign w:val="bottom"/>
            <w:tcBorders>
              <w:left w:val="single" w:sz="8" w:color="auto"/>
              <w:bottom w:val="single" w:sz="8" w:color="auto"/>
              <w:right w:val="single" w:sz="8" w:color="auto"/>
            </w:tcBorders>
            <w:shd w:val="clear" w:color="auto" w:fill="CCE2F1"/>
          </w:tcPr>
          <w:p>
            <w:pPr>
              <w:ind w:left="60"/>
              <w:spacing w:after="0"/>
              <w:rPr>
                <w:sz w:val="20"/>
                <w:szCs w:val="20"/>
                <w:color w:val="auto"/>
              </w:rPr>
            </w:pPr>
            <w:r>
              <w:rPr>
                <w:rFonts w:ascii="Times New Roman" w:cs="Times New Roman" w:eastAsia="Times New Roman" w:hAnsi="Times New Roman"/>
                <w:sz w:val="18"/>
                <w:szCs w:val="18"/>
                <w:color w:val="auto"/>
              </w:rPr>
              <w:t>Abstain:</w:t>
            </w:r>
          </w:p>
        </w:tc>
        <w:tc>
          <w:tcPr>
            <w:tcW w:w="3120" w:type="dxa"/>
            <w:vAlign w:val="bottom"/>
            <w:tcBorders>
              <w:bottom w:val="single" w:sz="8" w:color="auto"/>
              <w:right w:val="single" w:sz="8" w:color="auto"/>
            </w:tcBorders>
            <w:shd w:val="clear" w:color="auto" w:fill="CCE2F1"/>
          </w:tcPr>
          <w:p>
            <w:pPr>
              <w:jc w:val="right"/>
              <w:spacing w:after="0"/>
              <w:rPr>
                <w:sz w:val="20"/>
                <w:szCs w:val="20"/>
                <w:color w:val="auto"/>
              </w:rPr>
            </w:pPr>
            <w:r>
              <w:rPr>
                <w:rFonts w:ascii="Times New Roman" w:cs="Times New Roman" w:eastAsia="Times New Roman" w:hAnsi="Times New Roman"/>
                <w:sz w:val="18"/>
                <w:szCs w:val="18"/>
                <w:color w:val="auto"/>
              </w:rPr>
              <w:t>1,571,399</w:t>
            </w:r>
          </w:p>
        </w:tc>
      </w:tr>
      <w:tr>
        <w:trPr>
          <w:trHeight w:val="210"/>
        </w:trPr>
        <w:tc>
          <w:tcPr>
            <w:tcW w:w="23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Broker Non-Votes:</w:t>
            </w:r>
          </w:p>
        </w:tc>
        <w:tc>
          <w:tcPr>
            <w:tcW w:w="3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63,739,635</w:t>
            </w:r>
          </w:p>
        </w:tc>
      </w:tr>
    </w:tbl>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02529"/>
        </w:rPr>
        <w:t>No other matters were submitted for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AMGEN INC.</w:t>
            </w:r>
          </w:p>
        </w:tc>
      </w:tr>
      <w:tr>
        <w:trPr>
          <w:trHeight w:val="580"/>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20, 2026</w:t>
            </w:r>
          </w:p>
        </w:tc>
        <w:tc>
          <w:tcPr>
            <w:tcW w:w="714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By:  /s/ Jonathan P. Graham</w:t>
            </w:r>
          </w:p>
        </w:tc>
      </w:tr>
      <w:tr>
        <w:trPr>
          <w:trHeight w:val="218"/>
        </w:trPr>
        <w:tc>
          <w:tcPr>
            <w:tcW w:w="3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Jonathan P. Graham</w:t>
            </w:r>
          </w:p>
        </w:tc>
        <w:tc>
          <w:tcPr>
            <w:tcW w:w="6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General Counsel and</w:t>
            </w:r>
          </w:p>
        </w:tc>
      </w:tr>
      <w:tr>
        <w:trPr>
          <w:trHeight w:val="234"/>
        </w:trPr>
        <w:tc>
          <w:tcPr>
            <w:tcW w:w="3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Secretary</w:t>
            </w:r>
          </w:p>
        </w:tc>
      </w:tr>
      <w:tr>
        <w:trPr>
          <w:trHeight w:val="1357"/>
        </w:trPr>
        <w:tc>
          <w:tcPr>
            <w:tcW w:w="39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2026-05-20T16:20:50Z</dcterms:created>
  <dcterms:modified xsi:type="dcterms:W3CDTF">2026-05-20T16:20:50Z</dcterms:modified>
</cp:coreProperties>
</file>