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740" w:right="3679" w:hanging="732"/>
        <w:spacing w:after="0" w:line="235" w:lineRule="auto"/>
        <w:tabs>
          <w:tab w:leader="none" w:pos="21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QUARTERLY REPORT PURSUANT TO SECTION 13 OR 15(d) OF THE SECURITIES EXCHANGE ACT OF 1934</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For the quarterly period ended March 31, 1995</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740" w:right="3579" w:hanging="732"/>
        <w:spacing w:after="0" w:line="235" w:lineRule="auto"/>
        <w:tabs>
          <w:tab w:leader="none" w:pos="4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0-12477</w:t>
      </w:r>
    </w:p>
    <w:p>
      <w:pPr>
        <w:spacing w:after="0" w:line="200" w:lineRule="exact"/>
        <w:rPr>
          <w:sz w:val="24"/>
          <w:szCs w:val="24"/>
          <w:color w:val="auto"/>
        </w:rPr>
      </w:pPr>
    </w:p>
    <w:p>
      <w:pPr>
        <w:spacing w:after="0" w:line="204"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AMGEN INC.</w:t>
      </w:r>
    </w:p>
    <w:p>
      <w:pPr>
        <w:jc w:val="center"/>
        <w:ind w:right="303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95-3540776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(I.R.S. Employer</w:t>
      </w:r>
    </w:p>
    <w:p>
      <w:pPr>
        <w:ind w:left="42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3720" w:space="720"/>
            <w:col w:w="5779"/>
          </w:cols>
          <w:pgMar w:left="240" w:top="447" w:right="1440" w:bottom="0" w:gutter="0" w:footer="0" w:header="0"/>
          <w:type w:val="continuous"/>
        </w:sectPr>
      </w:pPr>
    </w:p>
    <w:p>
      <w:pPr>
        <w:spacing w:after="0" w:line="204"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1840 Dehavilland Drive, Thousand Oaks, California</w:t>
      </w:r>
      <w:r>
        <w:rPr>
          <w:sz w:val="20"/>
          <w:szCs w:val="20"/>
          <w:color w:val="auto"/>
        </w:rPr>
        <w:tab/>
      </w:r>
      <w:r>
        <w:rPr>
          <w:rFonts w:ascii="Courier New" w:cs="Courier New" w:eastAsia="Courier New" w:hAnsi="Courier New"/>
          <w:sz w:val="16"/>
          <w:szCs w:val="16"/>
          <w:color w:val="auto"/>
        </w:rPr>
        <w:t>91320-1789</w:t>
      </w:r>
    </w:p>
    <w:p>
      <w:pPr>
        <w:sectPr>
          <w:pgSz w:w="11900" w:h="16838" w:orient="portrait"/>
          <w:cols w:equalWidth="0" w:num="1">
            <w:col w:w="10219"/>
          </w:cols>
          <w:pgMar w:left="240" w:top="447" w:right="1440" w:bottom="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43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of principal executive offices)</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(Zip</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Code)</w:t>
            </w:r>
          </w:p>
        </w:tc>
        <w:tc>
          <w:tcPr>
            <w:tcW w:w="480" w:type="dxa"/>
            <w:vAlign w:val="bottom"/>
          </w:tcPr>
          <w:p>
            <w:pPr>
              <w:spacing w:after="0"/>
              <w:rPr>
                <w:sz w:val="17"/>
                <w:szCs w:val="17"/>
                <w:color w:val="auto"/>
              </w:rPr>
            </w:pPr>
          </w:p>
        </w:tc>
      </w:tr>
      <w:tr>
        <w:trPr>
          <w:trHeight w:val="608"/>
        </w:trPr>
        <w:tc>
          <w:tcPr>
            <w:tcW w:w="1320" w:type="dxa"/>
            <w:vAlign w:val="bottom"/>
          </w:tcPr>
          <w:p>
            <w:pPr>
              <w:spacing w:after="0"/>
              <w:rPr>
                <w:sz w:val="20"/>
                <w:szCs w:val="20"/>
                <w:color w:val="auto"/>
              </w:rPr>
            </w:pPr>
            <w:r>
              <w:rPr>
                <w:rFonts w:ascii="Courier New" w:cs="Courier New" w:eastAsia="Courier New" w:hAnsi="Courier New"/>
                <w:sz w:val="18"/>
                <w:szCs w:val="18"/>
                <w:color w:val="auto"/>
              </w:rPr>
              <w:t>Registrant's</w:t>
            </w:r>
          </w:p>
        </w:tc>
        <w:tc>
          <w:tcPr>
            <w:tcW w:w="43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telephone number, including area code:</w:t>
            </w:r>
          </w:p>
        </w:tc>
        <w:tc>
          <w:tcPr>
            <w:tcW w:w="16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(805) 447-1000</w:t>
            </w:r>
          </w:p>
        </w:tc>
      </w:tr>
      <w:tr>
        <w:trPr>
          <w:trHeight w:val="608"/>
        </w:trPr>
        <w:tc>
          <w:tcPr>
            <w:tcW w:w="1320" w:type="dxa"/>
            <w:vAlign w:val="bottom"/>
          </w:tcPr>
          <w:p>
            <w:pPr>
              <w:spacing w:after="0"/>
              <w:rPr>
                <w:sz w:val="20"/>
                <w:szCs w:val="20"/>
                <w:color w:val="auto"/>
              </w:rPr>
            </w:pPr>
            <w:r>
              <w:rPr>
                <w:rFonts w:ascii="Courier New" w:cs="Courier New" w:eastAsia="Courier New" w:hAnsi="Courier New"/>
                <w:sz w:val="18"/>
                <w:szCs w:val="18"/>
                <w:color w:val="auto"/>
              </w:rPr>
              <w:t>Indicate by</w:t>
            </w:r>
          </w:p>
        </w:tc>
        <w:tc>
          <w:tcPr>
            <w:tcW w:w="43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check mark  whether the  registrant  (1)</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all</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reports required</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 filed</w:t>
            </w:r>
          </w:p>
        </w:tc>
        <w:tc>
          <w:tcPr>
            <w:tcW w:w="3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by Section 13 or 15(d) of the</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Exchange Act of</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1934 during</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the  preceding 12 months</w:t>
            </w:r>
          </w:p>
        </w:tc>
        <w:tc>
          <w:tcPr>
            <w:tcW w:w="11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(or for</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such</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shorter  period  that  the  registrant  was</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required  to</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file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such</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reports), and (2) has  been subject to</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such</w:t>
            </w:r>
          </w:p>
        </w:tc>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filing requirements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past 90 days.</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Yes</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33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As of March 31, 1995, the</w:t>
            </w:r>
          </w:p>
        </w:tc>
        <w:tc>
          <w:tcPr>
            <w:tcW w:w="34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registrant had 132,344,322 shares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r>
      <w:tr>
        <w:trPr>
          <w:trHeight w:val="203"/>
        </w:trPr>
        <w:tc>
          <w:tcPr>
            <w:tcW w:w="4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Common Stock, $.0001 par value, outstanding.</w:t>
            </w: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81"/>
        </w:trPr>
        <w:tc>
          <w:tcPr>
            <w:tcW w:w="860" w:type="dxa"/>
            <w:vAlign w:val="bottom"/>
          </w:tcPr>
          <w:p>
            <w:pPr>
              <w:spacing w:after="0"/>
              <w:rPr>
                <w:sz w:val="24"/>
                <w:szCs w:val="24"/>
                <w:color w:val="auto"/>
              </w:rPr>
            </w:pPr>
          </w:p>
        </w:tc>
        <w:tc>
          <w:tcPr>
            <w:tcW w:w="3360" w:type="dxa"/>
            <w:vAlign w:val="bottom"/>
            <w:gridSpan w:val="2"/>
          </w:tcPr>
          <w:p>
            <w:pPr>
              <w:ind w:left="2200"/>
              <w:spacing w:after="0"/>
              <w:rPr>
                <w:sz w:val="20"/>
                <w:szCs w:val="20"/>
                <w:color w:val="auto"/>
              </w:rPr>
            </w:pPr>
            <w:r>
              <w:rPr>
                <w:rFonts w:ascii="Courier New" w:cs="Courier New" w:eastAsia="Courier New" w:hAnsi="Courier New"/>
                <w:sz w:val="18"/>
                <w:szCs w:val="18"/>
                <w:color w:val="auto"/>
              </w:rPr>
              <w:t>AMGEN INC.</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Courier New" w:cs="Courier New" w:eastAsia="Courier New" w:hAnsi="Courier New"/>
                <w:sz w:val="18"/>
                <w:szCs w:val="18"/>
                <w:color w:val="auto"/>
              </w:rPr>
              <w:t>INDEX</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608"/>
        </w:trPr>
        <w:tc>
          <w:tcPr>
            <w:tcW w:w="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Page No.</w:t>
            </w:r>
          </w:p>
        </w:tc>
        <w:tc>
          <w:tcPr>
            <w:tcW w:w="42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FINANCIAL INFORMATION</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388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74"/>
              </w:rPr>
              <w:t>Item 1.Financial Statements .......................</w:t>
            </w:r>
          </w:p>
        </w:tc>
        <w:tc>
          <w:tcPr>
            <w:tcW w:w="128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w:t>
            </w:r>
          </w:p>
        </w:tc>
        <w:tc>
          <w:tcPr>
            <w:tcW w:w="42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516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Condensed Consolidated Statements of</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33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Operations - three months</w:t>
            </w: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516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w w:val="89"/>
              </w:rPr>
              <w:t>ended March 31, 1995 and 1994 ...................</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c>
          <w:tcPr>
            <w:tcW w:w="42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516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Condensed Consolidated Balance Sheets -</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516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w w:val="89"/>
              </w:rPr>
              <w:t>March 31, 1995 and December 31, 1994 ............</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42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516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Condensed Consolidated Statements of</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33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Cash Flows - three months</w:t>
            </w: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516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w w:val="97"/>
              </w:rPr>
              <w:t>ended March 31, 1995 and 1994 ...............</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6 - 7</w:t>
            </w:r>
          </w:p>
        </w:tc>
        <w:tc>
          <w:tcPr>
            <w:tcW w:w="42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516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Notes to Condensed Consolidated Financial</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336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70"/>
              </w:rPr>
              <w:t>Statements ......................................</w:t>
            </w: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42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5160" w:type="dxa"/>
            <w:vAlign w:val="bottom"/>
            <w:gridSpan w:val="4"/>
          </w:tcPr>
          <w:p>
            <w:pPr>
              <w:ind w:left="200"/>
              <w:spacing w:after="0"/>
              <w:rPr>
                <w:sz w:val="20"/>
                <w:szCs w:val="20"/>
                <w:color w:val="auto"/>
              </w:rPr>
            </w:pPr>
            <w:r>
              <w:rPr>
                <w:rFonts w:ascii="Courier New" w:cs="Courier New" w:eastAsia="Courier New" w:hAnsi="Courier New"/>
                <w:sz w:val="18"/>
                <w:szCs w:val="18"/>
                <w:color w:val="auto"/>
              </w:rPr>
              <w:t>Item 2.Management's Discussion and Analysis</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5160" w:type="dxa"/>
            <w:vAlign w:val="bottom"/>
            <w:gridSpan w:val="4"/>
          </w:tcPr>
          <w:p>
            <w:pPr>
              <w:ind w:left="940"/>
              <w:spacing w:after="0" w:line="203" w:lineRule="exact"/>
              <w:rPr>
                <w:sz w:val="20"/>
                <w:szCs w:val="20"/>
                <w:color w:val="auto"/>
              </w:rPr>
            </w:pPr>
            <w:r>
              <w:rPr>
                <w:rFonts w:ascii="Courier New" w:cs="Courier New" w:eastAsia="Courier New" w:hAnsi="Courier New"/>
                <w:sz w:val="18"/>
                <w:szCs w:val="18"/>
                <w:color w:val="auto"/>
              </w:rPr>
              <w:t>of Financial Condition and Results of</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3360" w:type="dxa"/>
            <w:vAlign w:val="bottom"/>
            <w:gridSpan w:val="2"/>
          </w:tcPr>
          <w:p>
            <w:pPr>
              <w:ind w:left="940"/>
              <w:spacing w:after="0"/>
              <w:rPr>
                <w:sz w:val="20"/>
                <w:szCs w:val="20"/>
                <w:color w:val="auto"/>
              </w:rPr>
            </w:pPr>
            <w:r>
              <w:rPr>
                <w:rFonts w:ascii="Courier New" w:cs="Courier New" w:eastAsia="Courier New" w:hAnsi="Courier New"/>
                <w:sz w:val="13"/>
                <w:szCs w:val="13"/>
                <w:color w:val="auto"/>
                <w:w w:val="71"/>
              </w:rPr>
              <w:t>Operations ................................</w:t>
            </w: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w:t>
            </w:r>
          </w:p>
        </w:tc>
        <w:tc>
          <w:tcPr>
            <w:tcW w:w="420" w:type="dxa"/>
            <w:vAlign w:val="bottom"/>
          </w:tcPr>
          <w:p>
            <w:pPr>
              <w:spacing w:after="0"/>
              <w:rPr>
                <w:sz w:val="17"/>
                <w:szCs w:val="17"/>
                <w:color w:val="auto"/>
              </w:rPr>
            </w:pPr>
          </w:p>
        </w:tc>
      </w:tr>
    </w:tbl>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jc w:val="right"/>
        <w:ind w:right="3679"/>
        <w:spacing w:after="0"/>
        <w:tabs>
          <w:tab w:leader="dot" w:pos="200" w:val="left"/>
        </w:tabs>
        <w:rPr>
          <w:sz w:val="20"/>
          <w:szCs w:val="20"/>
          <w:color w:val="auto"/>
        </w:rPr>
      </w:pPr>
      <w:r>
        <w:rPr>
          <w:rFonts w:ascii="Courier New" w:cs="Courier New" w:eastAsia="Courier New" w:hAnsi="Courier New"/>
          <w:sz w:val="18"/>
          <w:szCs w:val="18"/>
          <w:color w:val="auto"/>
        </w:rPr>
        <w:t>Item 1.Legal Proceedings</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jc w:val="right"/>
        <w:ind w:right="3679"/>
        <w:spacing w:after="0"/>
        <w:tabs>
          <w:tab w:leader="dot" w:pos="200" w:val="left"/>
        </w:tabs>
        <w:rPr>
          <w:sz w:val="20"/>
          <w:szCs w:val="20"/>
          <w:color w:val="auto"/>
        </w:rPr>
      </w:pPr>
      <w:r>
        <w:rPr>
          <w:rFonts w:ascii="Courier New" w:cs="Courier New" w:eastAsia="Courier New" w:hAnsi="Courier New"/>
          <w:sz w:val="18"/>
          <w:szCs w:val="18"/>
          <w:color w:val="auto"/>
        </w:rPr>
        <w:t>Item 6.Exhibits and Reports on Form 8-K</w:t>
      </w:r>
      <w:r>
        <w:rPr>
          <w:sz w:val="20"/>
          <w:szCs w:val="20"/>
          <w:color w:val="auto"/>
        </w:rPr>
        <w:tab/>
      </w:r>
      <w:r>
        <w:rPr>
          <w:rFonts w:ascii="Courier New" w:cs="Courier New" w:eastAsia="Courier New" w:hAnsi="Courier New"/>
          <w:sz w:val="18"/>
          <w:szCs w:val="18"/>
          <w:color w:val="auto"/>
        </w:rPr>
        <w:t>20</w:t>
      </w:r>
    </w:p>
    <w:p>
      <w:pPr>
        <w:spacing w:after="0" w:line="201" w:lineRule="exact"/>
        <w:rPr>
          <w:sz w:val="20"/>
          <w:szCs w:val="20"/>
          <w:color w:val="auto"/>
        </w:rPr>
      </w:pPr>
    </w:p>
    <w:p>
      <w:pPr>
        <w:jc w:val="right"/>
        <w:ind w:right="3679"/>
        <w:spacing w:after="0"/>
        <w:tabs>
          <w:tab w:leader="dot" w:pos="20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8"/>
          <w:szCs w:val="18"/>
          <w:color w:val="auto"/>
        </w:rPr>
        <w:t>21</w:t>
      </w:r>
    </w:p>
    <w:p>
      <w:pPr>
        <w:spacing w:after="0" w:line="201" w:lineRule="exact"/>
        <w:rPr>
          <w:sz w:val="20"/>
          <w:szCs w:val="20"/>
          <w:color w:val="auto"/>
        </w:rPr>
      </w:pPr>
    </w:p>
    <w:p>
      <w:pPr>
        <w:jc w:val="right"/>
        <w:ind w:right="3679"/>
        <w:spacing w:after="0"/>
        <w:tabs>
          <w:tab w:leader="dot" w:pos="200" w:val="left"/>
        </w:tabs>
        <w:rPr>
          <w:sz w:val="20"/>
          <w:szCs w:val="20"/>
          <w:color w:val="auto"/>
        </w:rPr>
      </w:pPr>
      <w:r>
        <w:rPr>
          <w:rFonts w:ascii="Courier New" w:cs="Courier New" w:eastAsia="Courier New" w:hAnsi="Courier New"/>
          <w:sz w:val="18"/>
          <w:szCs w:val="18"/>
          <w:color w:val="auto"/>
        </w:rPr>
        <w:t>Index to Exhibits</w:t>
      </w:r>
      <w:r>
        <w:rPr>
          <w:sz w:val="20"/>
          <w:szCs w:val="20"/>
          <w:color w:val="auto"/>
        </w:rPr>
        <w:tab/>
      </w:r>
      <w:r>
        <w:rPr>
          <w:rFonts w:ascii="Courier New" w:cs="Courier New" w:eastAsia="Courier New" w:hAnsi="Courier New"/>
          <w:sz w:val="18"/>
          <w:szCs w:val="18"/>
          <w:color w:val="auto"/>
        </w:rPr>
        <w:t>22</w:t>
      </w:r>
    </w:p>
    <w:p>
      <w:pPr>
        <w:sectPr>
          <w:pgSz w:w="11900" w:h="16838" w:orient="portrait"/>
          <w:cols w:equalWidth="0" w:num="1">
            <w:col w:w="10219"/>
          </w:cols>
          <w:pgMar w:left="240" w:top="541" w:right="1440" w:bottom="1440" w:gutter="0" w:footer="0" w:header="0"/>
        </w:sectPr>
      </w:pPr>
    </w:p>
    <w:bookmarkStart w:id="2" w:name="page3"/>
    <w:bookmarkEnd w:id="2"/>
    <w:p>
      <w:pPr>
        <w:ind w:left="2000"/>
        <w:spacing w:after="0"/>
        <w:rPr>
          <w:sz w:val="20"/>
          <w:szCs w:val="20"/>
          <w:color w:val="auto"/>
        </w:rPr>
      </w:pPr>
      <w:r>
        <w:rPr>
          <w:rFonts w:ascii="Courier New" w:cs="Courier New" w:eastAsia="Courier New" w:hAnsi="Courier New"/>
          <w:sz w:val="18"/>
          <w:szCs w:val="18"/>
          <w:color w:val="auto"/>
        </w:rPr>
        <w:t>PART I - FINANCIAL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information in this report for the three months ended March 31, 1995 and 1994 is unaudited but includes all adjustments (consisting only of normal recurring accruals) which Amgen Inc. ("Amgen" or the "Company") considers necessary for a fair presentation of the results of operations for those periods.</w:t>
      </w:r>
    </w:p>
    <w:p>
      <w:pPr>
        <w:spacing w:after="0" w:line="209"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condensed financial statements should be read in conjunction with the Company's financial statements and the notes thereto contained in the Company's Annual Report on Form 10-K for the fiscal year ended December 31, 1994.</w:t>
      </w:r>
    </w:p>
    <w:p>
      <w:pPr>
        <w:spacing w:after="0" w:line="207" w:lineRule="exact"/>
        <w:rPr>
          <w:sz w:val="20"/>
          <w:szCs w:val="20"/>
          <w:color w:val="auto"/>
        </w:rPr>
      </w:pPr>
    </w:p>
    <w:p>
      <w:pPr>
        <w:jc w:val="both"/>
        <w:ind w:right="2939" w:firstLine="527"/>
        <w:spacing w:after="0" w:line="235" w:lineRule="auto"/>
        <w:rPr>
          <w:sz w:val="20"/>
          <w:szCs w:val="20"/>
          <w:color w:val="auto"/>
        </w:rPr>
      </w:pPr>
      <w:r>
        <w:rPr>
          <w:rFonts w:ascii="Courier New" w:cs="Courier New" w:eastAsia="Courier New" w:hAnsi="Courier New"/>
          <w:sz w:val="18"/>
          <w:szCs w:val="18"/>
          <w:color w:val="auto"/>
        </w:rPr>
        <w:t>Interim results are not necessarily indicative of results for the full fiscal year.</w:t>
      </w:r>
    </w:p>
    <w:p>
      <w:pPr>
        <w:sectPr>
          <w:pgSz w:w="11900" w:h="16838" w:orient="portrait"/>
          <w:cols w:equalWidth="0" w:num="1">
            <w:col w:w="10219"/>
          </w:cols>
          <w:pgMar w:left="240" w:top="514" w:right="1440" w:bottom="1440" w:gutter="0" w:footer="0" w:header="0"/>
        </w:sectPr>
      </w:pPr>
    </w:p>
    <w:bookmarkStart w:id="3" w:name="page4"/>
    <w:bookmarkEnd w:id="3"/>
    <w:p>
      <w:pPr>
        <w:jc w:val="center"/>
        <w:ind w:right="3459"/>
        <w:spacing w:after="0"/>
        <w:rPr>
          <w:sz w:val="20"/>
          <w:szCs w:val="20"/>
          <w:color w:val="auto"/>
        </w:rPr>
      </w:pPr>
      <w:r>
        <w:rPr>
          <w:rFonts w:ascii="Courier New" w:cs="Courier New" w:eastAsia="Courier New" w:hAnsi="Courier New"/>
          <w:sz w:val="18"/>
          <w:szCs w:val="18"/>
          <w:color w:val="auto"/>
        </w:rPr>
        <w:t>AMGEN INC.</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CONDENSED CONSOLIDATED STATEMENTS OF OPERATIONS</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(In thousands, except per share data)</w:t>
      </w:r>
    </w:p>
    <w:p>
      <w:pPr>
        <w:jc w:val="center"/>
        <w:ind w:right="33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24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3800" w:type="dxa"/>
            <w:vAlign w:val="bottom"/>
          </w:tcPr>
          <w:p>
            <w:pPr>
              <w:spacing w:after="0"/>
              <w:rPr>
                <w:sz w:val="17"/>
                <w:szCs w:val="17"/>
                <w:color w:val="auto"/>
              </w:rPr>
            </w:pPr>
          </w:p>
        </w:tc>
        <w:tc>
          <w:tcPr>
            <w:tcW w:w="24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380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1995</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8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sales.....................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$411,237</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$345,731</w:t>
            </w: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Corporate partner revenues........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19,776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13,991</w:t>
            </w: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Royalty income....................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8,353</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4,276</w:t>
            </w:r>
          </w:p>
        </w:tc>
      </w:tr>
      <w:tr>
        <w:trPr>
          <w:trHeight w:val="203"/>
        </w:trPr>
        <w:tc>
          <w:tcPr>
            <w:tcW w:w="38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revenues.................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439,366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363,998</w:t>
            </w:r>
          </w:p>
        </w:tc>
      </w:tr>
      <w:tr>
        <w:trPr>
          <w:trHeight w:val="203"/>
        </w:trPr>
        <w:tc>
          <w:tcPr>
            <w:tcW w:w="38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Cost of sales.....................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66,573</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53,283</w:t>
            </w: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113,883</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73,725</w:t>
            </w: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58,761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53,173</w:t>
            </w:r>
          </w:p>
        </w:tc>
      </w:tr>
      <w:tr>
        <w:trPr>
          <w:trHeight w:val="405"/>
        </w:trPr>
        <w:tc>
          <w:tcPr>
            <w:tcW w:w="3800" w:type="dxa"/>
            <w:vAlign w:val="bottom"/>
          </w:tcPr>
          <w:p>
            <w:pPr>
              <w:jc w:val="right"/>
              <w:spacing w:after="0"/>
              <w:rPr>
                <w:sz w:val="20"/>
                <w:szCs w:val="20"/>
                <w:color w:val="auto"/>
              </w:rPr>
            </w:pPr>
            <w:r>
              <w:rPr>
                <w:rFonts w:ascii="Courier New" w:cs="Courier New" w:eastAsia="Courier New" w:hAnsi="Courier New"/>
                <w:sz w:val="18"/>
                <w:szCs w:val="18"/>
                <w:color w:val="auto"/>
              </w:rPr>
              <w:t>General and administrative........</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34,638</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28,308</w:t>
            </w: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Loss of affiliates, net...........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12,685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7,257</w:t>
            </w:r>
          </w:p>
        </w:tc>
      </w:tr>
      <w:tr>
        <w:trPr>
          <w:trHeight w:val="203"/>
        </w:trPr>
        <w:tc>
          <w:tcPr>
            <w:tcW w:w="38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286,540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215,746</w:t>
            </w:r>
          </w:p>
        </w:tc>
      </w:tr>
      <w:tr>
        <w:trPr>
          <w:trHeight w:val="203"/>
        </w:trPr>
        <w:tc>
          <w:tcPr>
            <w:tcW w:w="38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jc w:val="right"/>
              <w:spacing w:after="0"/>
              <w:rPr>
                <w:sz w:val="20"/>
                <w:szCs w:val="20"/>
                <w:color w:val="auto"/>
              </w:rPr>
            </w:pPr>
            <w:r>
              <w:rPr>
                <w:rFonts w:ascii="Courier New" w:cs="Courier New" w:eastAsia="Courier New" w:hAnsi="Courier New"/>
                <w:sz w:val="18"/>
                <w:szCs w:val="18"/>
                <w:color w:val="auto"/>
                <w:w w:val="97"/>
              </w:rPr>
              <w:t>Operating income....................</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152,826</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148,252</w:t>
            </w:r>
          </w:p>
        </w:tc>
      </w:tr>
      <w:tr>
        <w:trPr>
          <w:trHeight w:val="203"/>
        </w:trPr>
        <w:tc>
          <w:tcPr>
            <w:tcW w:w="38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and other income.........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12,899</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5,511</w:t>
            </w: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(3,784)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(2,640)</w:t>
            </w:r>
          </w:p>
        </w:tc>
      </w:tr>
      <w:tr>
        <w:trPr>
          <w:trHeight w:val="203"/>
        </w:trPr>
        <w:tc>
          <w:tcPr>
            <w:tcW w:w="38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other income (expense)........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9,115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2,871</w:t>
            </w:r>
          </w:p>
        </w:tc>
      </w:tr>
      <w:tr>
        <w:trPr>
          <w:trHeight w:val="203"/>
        </w:trPr>
        <w:tc>
          <w:tcPr>
            <w:tcW w:w="38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jc w:val="right"/>
              <w:spacing w:after="0"/>
              <w:rPr>
                <w:sz w:val="20"/>
                <w:szCs w:val="20"/>
                <w:color w:val="auto"/>
              </w:rPr>
            </w:pPr>
            <w:r>
              <w:rPr>
                <w:rFonts w:ascii="Courier New" w:cs="Courier New" w:eastAsia="Courier New" w:hAnsi="Courier New"/>
                <w:sz w:val="18"/>
                <w:szCs w:val="18"/>
                <w:color w:val="auto"/>
                <w:w w:val="97"/>
              </w:rPr>
              <w:t>Income before income taxes..........</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161,941</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151,123</w:t>
            </w:r>
          </w:p>
        </w:tc>
      </w:tr>
      <w:tr>
        <w:trPr>
          <w:trHeight w:val="405"/>
        </w:trPr>
        <w:tc>
          <w:tcPr>
            <w:tcW w:w="3800" w:type="dxa"/>
            <w:vAlign w:val="bottom"/>
          </w:tcPr>
          <w:p>
            <w:pPr>
              <w:jc w:val="right"/>
              <w:spacing w:after="0"/>
              <w:rPr>
                <w:sz w:val="20"/>
                <w:szCs w:val="20"/>
                <w:color w:val="auto"/>
              </w:rPr>
            </w:pPr>
            <w:r>
              <w:rPr>
                <w:rFonts w:ascii="Courier New" w:cs="Courier New" w:eastAsia="Courier New" w:hAnsi="Courier New"/>
                <w:sz w:val="18"/>
                <w:szCs w:val="18"/>
                <w:color w:val="auto"/>
                <w:w w:val="97"/>
              </w:rPr>
              <w:t>Provision for income taxes..........</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53,317</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57,663</w:t>
            </w:r>
          </w:p>
        </w:tc>
      </w:tr>
      <w:tr>
        <w:trPr>
          <w:trHeight w:val="203"/>
        </w:trPr>
        <w:tc>
          <w:tcPr>
            <w:tcW w:w="38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$108,624</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$ 93,460</w:t>
            </w:r>
          </w:p>
        </w:tc>
      </w:tr>
      <w:tr>
        <w:trPr>
          <w:trHeight w:val="203"/>
        </w:trPr>
        <w:tc>
          <w:tcPr>
            <w:tcW w:w="38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Primary earnings per share........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$0.66</w:t>
            </w: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Fully diluted earnings per share..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$0.66</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Shares used in calculation of:</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Primary earnings per share........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139,752</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141,371</w:t>
            </w:r>
          </w:p>
        </w:tc>
      </w:tr>
      <w:tr>
        <w:trPr>
          <w:trHeight w:val="203"/>
        </w:trPr>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Fully diluted earnings per share..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140,131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141,371</w:t>
            </w:r>
          </w:p>
        </w:tc>
      </w:tr>
    </w:tbl>
    <w:p>
      <w:pPr>
        <w:spacing w:after="0" w:line="201" w:lineRule="exact"/>
        <w:rPr>
          <w:sz w:val="20"/>
          <w:szCs w:val="20"/>
          <w:color w:val="auto"/>
        </w:rPr>
      </w:pPr>
    </w:p>
    <w:p>
      <w:pPr>
        <w:ind w:left="2020"/>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9799"/>
          </w:cols>
          <w:pgMar w:left="660" w:top="514" w:right="1440" w:bottom="1440" w:gutter="0" w:footer="0" w:header="0"/>
        </w:sectPr>
      </w:pPr>
    </w:p>
    <w:bookmarkStart w:id="4" w:name="page5"/>
    <w:bookmarkEnd w:id="4"/>
    <w:p>
      <w:pPr>
        <w:jc w:val="center"/>
        <w:ind w:right="3039"/>
        <w:spacing w:after="0"/>
        <w:rPr>
          <w:sz w:val="20"/>
          <w:szCs w:val="20"/>
          <w:color w:val="auto"/>
        </w:rPr>
      </w:pPr>
      <w:r>
        <w:rPr>
          <w:rFonts w:ascii="Courier New" w:cs="Courier New" w:eastAsia="Courier New" w:hAnsi="Courier New"/>
          <w:sz w:val="18"/>
          <w:szCs w:val="18"/>
          <w:color w:val="auto"/>
        </w:rPr>
        <w:t>AMGEN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0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(In thousands, except per share data)</w:t>
      </w:r>
    </w:p>
    <w:p>
      <w:pPr>
        <w:jc w:val="center"/>
        <w:ind w:right="293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March 31,</w:t>
            </w:r>
          </w:p>
        </w:tc>
        <w:tc>
          <w:tcPr>
            <w:tcW w:w="138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December 31,</w:t>
            </w:r>
          </w:p>
        </w:tc>
      </w:tr>
      <w:tr>
        <w:trPr>
          <w:trHeight w:val="203"/>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2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ASSETS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Cash and cash equivalents.................</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199,024</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211,323</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Marketable securities.....................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568,359</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485,358</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Trade receivables, net....................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189,128</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194,712</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Inventories...............................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92,497</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98,004</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Deferred tax assets, net..................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70,176</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70,176</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Other current assets......................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49,746</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56,065</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1,168,930</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1,115,638</w:t>
            </w:r>
          </w:p>
        </w:tc>
      </w:tr>
      <w:tr>
        <w:trPr>
          <w:trHeight w:val="405"/>
        </w:trPr>
        <w:tc>
          <w:tcPr>
            <w:tcW w:w="4600" w:type="dxa"/>
            <w:vAlign w:val="bottom"/>
          </w:tcPr>
          <w:p>
            <w:pPr>
              <w:jc w:val="right"/>
              <w:spacing w:after="0"/>
              <w:rPr>
                <w:sz w:val="20"/>
                <w:szCs w:val="20"/>
                <w:color w:val="auto"/>
              </w:rPr>
            </w:pPr>
            <w:r>
              <w:rPr>
                <w:rFonts w:ascii="Courier New" w:cs="Courier New" w:eastAsia="Courier New" w:hAnsi="Courier New"/>
                <w:sz w:val="18"/>
                <w:szCs w:val="18"/>
                <w:color w:val="auto"/>
                <w:w w:val="97"/>
              </w:rPr>
              <w:t>Property, plant and equipment at cost, net.</w:t>
            </w:r>
          </w:p>
        </w:tc>
        <w:tc>
          <w:tcPr>
            <w:tcW w:w="1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670,596</w:t>
            </w:r>
          </w:p>
        </w:tc>
        <w:tc>
          <w:tcPr>
            <w:tcW w:w="22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665,314</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Investments in affiliated companies........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75,745</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82,263</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137,140</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130,932</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$2,052,411</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$1,994,147</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LIABILITIES AND STOCKHOLDERS' EQUITY</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Accounts payable..........................</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33,451</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30,476</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Commercial paper..........................</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99,339</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99,667</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Other accrued liabilities.................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401,153</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406,287</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533,943</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536,430</w:t>
            </w:r>
          </w:p>
        </w:tc>
      </w:tr>
      <w:tr>
        <w:trPr>
          <w:trHeight w:val="405"/>
        </w:trPr>
        <w:tc>
          <w:tcPr>
            <w:tcW w:w="4600" w:type="dxa"/>
            <w:vAlign w:val="bottom"/>
          </w:tcPr>
          <w:p>
            <w:pPr>
              <w:jc w:val="right"/>
              <w:spacing w:after="0"/>
              <w:rPr>
                <w:sz w:val="20"/>
                <w:szCs w:val="20"/>
                <w:color w:val="auto"/>
              </w:rPr>
            </w:pPr>
            <w:r>
              <w:rPr>
                <w:rFonts w:ascii="Courier New" w:cs="Courier New" w:eastAsia="Courier New" w:hAnsi="Courier New"/>
                <w:sz w:val="18"/>
                <w:szCs w:val="18"/>
                <w:color w:val="auto"/>
                <w:w w:val="97"/>
              </w:rPr>
              <w:t>Long-term debt.............................</w:t>
            </w:r>
          </w:p>
        </w:tc>
        <w:tc>
          <w:tcPr>
            <w:tcW w:w="1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181,205</w:t>
            </w:r>
          </w:p>
        </w:tc>
        <w:tc>
          <w:tcPr>
            <w:tcW w:w="22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183,407</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6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Common stock, $.0001 par value; 750,000</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authorized; outstanding -</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132,344 shares in 1995 and 132,328</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in 1994.........................</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Additional paid-in capital................</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748,814</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719,310</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Retained earnings.........................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588,436</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554,987</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1,337,263</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1,274,310</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$2,052,411</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$1,994,147</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514" w:right="1440" w:bottom="1440" w:gutter="0" w:footer="0" w:header="0"/>
        </w:sectPr>
      </w:pPr>
    </w:p>
    <w:bookmarkStart w:id="5" w:name="page6"/>
    <w:bookmarkEnd w:id="5"/>
    <w:p>
      <w:pPr>
        <w:jc w:val="center"/>
        <w:ind w:right="3579"/>
        <w:spacing w:after="0"/>
        <w:rPr>
          <w:sz w:val="20"/>
          <w:szCs w:val="20"/>
          <w:color w:val="auto"/>
        </w:rPr>
      </w:pPr>
      <w:r>
        <w:rPr>
          <w:rFonts w:ascii="Courier New" w:cs="Courier New" w:eastAsia="Courier New" w:hAnsi="Courier New"/>
          <w:sz w:val="18"/>
          <w:szCs w:val="18"/>
          <w:color w:val="auto"/>
        </w:rPr>
        <w:t>AMGEN INC.</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 thousands)</w:t>
      </w:r>
    </w:p>
    <w:tbl>
      <w:tblPr>
        <w:tblLayout w:type="fixed"/>
        <w:tblInd w:w="0" w:type="dxa"/>
        <w:tblCellMar>
          <w:top w:w="0" w:type="dxa"/>
          <w:left w:w="0" w:type="dxa"/>
          <w:bottom w:w="0" w:type="dxa"/>
          <w:right w:w="0" w:type="dxa"/>
        </w:tblCellMar>
      </w:tblPr>
      <w:tr>
        <w:trPr>
          <w:trHeight w:val="203"/>
        </w:trPr>
        <w:tc>
          <w:tcPr>
            <w:tcW w:w="4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(Unaudited)</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4060" w:type="dxa"/>
            <w:vAlign w:val="bottom"/>
          </w:tcPr>
          <w:p>
            <w:pPr>
              <w:spacing w:after="0"/>
              <w:rPr>
                <w:sz w:val="24"/>
                <w:szCs w:val="24"/>
                <w:color w:val="auto"/>
              </w:rPr>
            </w:pPr>
          </w:p>
        </w:tc>
        <w:tc>
          <w:tcPr>
            <w:tcW w:w="20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8"/>
              </w:rPr>
              <w:t>Three Months Ended</w:t>
            </w:r>
          </w:p>
        </w:tc>
      </w:tr>
      <w:tr>
        <w:trPr>
          <w:trHeight w:val="203"/>
        </w:trPr>
        <w:tc>
          <w:tcPr>
            <w:tcW w:w="4060" w:type="dxa"/>
            <w:vAlign w:val="bottom"/>
          </w:tcPr>
          <w:p>
            <w:pPr>
              <w:spacing w:after="0"/>
              <w:rPr>
                <w:sz w:val="17"/>
                <w:szCs w:val="17"/>
                <w:color w:val="auto"/>
              </w:rPr>
            </w:pPr>
          </w:p>
        </w:tc>
        <w:tc>
          <w:tcPr>
            <w:tcW w:w="20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060" w:type="dxa"/>
            <w:vAlign w:val="bottom"/>
          </w:tcPr>
          <w:p>
            <w:pPr>
              <w:spacing w:after="0"/>
              <w:rPr>
                <w:sz w:val="17"/>
                <w:szCs w:val="17"/>
                <w:color w:val="auto"/>
              </w:rPr>
            </w:pP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06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Cash flows from operating activities:</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$108,624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$ 93,460</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Depreciation and amortization........</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19,719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17,846</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Deferred income taxes................</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2,507</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Loss of affiliates, net..............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12,685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7,257</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Cash provided by (used in):</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Trade receivables, net..............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5,584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(6,783)</w:t>
            </w: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Inventories.........................</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(7,200)</w:t>
            </w: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6,319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767</w:t>
            </w: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payable....................</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2,975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(2,346)</w:t>
            </w: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11,172</w:t>
            </w:r>
          </w:p>
        </w:tc>
      </w:tr>
      <w:tr>
        <w:trPr>
          <w:trHeight w:val="203"/>
        </w:trPr>
        <w:tc>
          <w:tcPr>
            <w:tcW w:w="406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activities.....................</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156,306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116,680</w:t>
            </w:r>
          </w:p>
        </w:tc>
      </w:tr>
      <w:tr>
        <w:trPr>
          <w:trHeight w:val="203"/>
        </w:trPr>
        <w:tc>
          <w:tcPr>
            <w:tcW w:w="406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Cash flows from investing activities:</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Purchases of property, plant and</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equipment.........................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(24,965)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(36,978)</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Proceeds from maturities of</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35,323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19,000</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Proceeds from sales of marketable</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303,190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587,390</w:t>
            </w: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Purchases of marketable securities...</w:t>
            </w: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(421,514) (584,044)</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Decrease in investments in</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affiliated companies..............</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4,555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651</w:t>
            </w: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Increase in other assets.............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(10,167)</w:t>
            </w:r>
          </w:p>
        </w:tc>
      </w:tr>
      <w:tr>
        <w:trPr>
          <w:trHeight w:val="203"/>
        </w:trPr>
        <w:tc>
          <w:tcPr>
            <w:tcW w:w="406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Net cash used in investing</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activities.....................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(109,619)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(24,148)</w:t>
            </w:r>
          </w:p>
        </w:tc>
      </w:tr>
    </w:tbl>
    <w:p>
      <w:pPr>
        <w:ind w:left="4100"/>
        <w:spacing w:after="0"/>
        <w:tabs>
          <w:tab w:leader="none" w:pos="5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(Continued on next page)</w:t>
      </w:r>
    </w:p>
    <w:p>
      <w:pPr>
        <w:sectPr>
          <w:pgSz w:w="11900" w:h="16838" w:orient="portrait"/>
          <w:cols w:equalWidth="0" w:num="1">
            <w:col w:w="9679"/>
          </w:cols>
          <w:pgMar w:left="780" w:top="514" w:right="1440" w:bottom="1440" w:gutter="0" w:footer="0" w:header="0"/>
        </w:sectPr>
      </w:pPr>
    </w:p>
    <w:bookmarkStart w:id="6" w:name="page7"/>
    <w:bookmarkEnd w:id="6"/>
    <w:p>
      <w:pPr>
        <w:jc w:val="center"/>
        <w:ind w:right="3579"/>
        <w:spacing w:after="0"/>
        <w:rPr>
          <w:sz w:val="20"/>
          <w:szCs w:val="20"/>
          <w:color w:val="auto"/>
        </w:rPr>
      </w:pPr>
      <w:r>
        <w:rPr>
          <w:rFonts w:ascii="Courier New" w:cs="Courier New" w:eastAsia="Courier New" w:hAnsi="Courier New"/>
          <w:sz w:val="18"/>
          <w:szCs w:val="18"/>
          <w:color w:val="auto"/>
        </w:rPr>
        <w:t>AMGEN INC.</w:t>
      </w:r>
    </w:p>
    <w:p>
      <w:pPr>
        <w:spacing w:after="0" w:line="207"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6"/>
          <w:szCs w:val="16"/>
          <w:color w:val="auto"/>
        </w:rPr>
        <w:t>CONDENSED CONSOLIDATED STATEMENTS OF CASH FLOWS (Continued)</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 thousands)</w:t>
      </w:r>
    </w:p>
    <w:tbl>
      <w:tblPr>
        <w:tblLayout w:type="fixed"/>
        <w:tblInd w:w="0" w:type="dxa"/>
        <w:tblCellMar>
          <w:top w:w="0" w:type="dxa"/>
          <w:left w:w="0" w:type="dxa"/>
          <w:bottom w:w="0" w:type="dxa"/>
          <w:right w:w="0" w:type="dxa"/>
        </w:tblCellMar>
      </w:tblPr>
      <w:tr>
        <w:trPr>
          <w:trHeight w:val="203"/>
        </w:trPr>
        <w:tc>
          <w:tcPr>
            <w:tcW w:w="4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(Unaudited)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4060" w:type="dxa"/>
            <w:vAlign w:val="bottom"/>
          </w:tcPr>
          <w:p>
            <w:pPr>
              <w:spacing w:after="0"/>
              <w:rPr>
                <w:sz w:val="24"/>
                <w:szCs w:val="24"/>
                <w:color w:val="auto"/>
              </w:rPr>
            </w:pPr>
          </w:p>
        </w:tc>
        <w:tc>
          <w:tcPr>
            <w:tcW w:w="20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060" w:type="dxa"/>
            <w:vAlign w:val="bottom"/>
          </w:tcPr>
          <w:p>
            <w:pPr>
              <w:spacing w:after="0"/>
              <w:rPr>
                <w:sz w:val="17"/>
                <w:szCs w:val="17"/>
                <w:color w:val="auto"/>
              </w:rPr>
            </w:pP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Decrease in commercial paper.........</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$(9,920)</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Proceeds from issuance of long-term</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debt..............................</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Repayment of long-term debt..........</w:t>
            </w: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proceeds from issuance of common</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 upon the exercise of stock</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options...........................</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23,769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5,278</w:t>
            </w: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Tax benefit related to stock options.</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5,700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4,400</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proceeds from issuance common</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 upon the exercise of</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warrants..........................</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846</w:t>
            </w: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Repurchases of common stock..........</w:t>
            </w: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(75,175)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(75,138)</w:t>
            </w: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Other................................</w:t>
            </w: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(10,723)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(8,248)</w:t>
            </w:r>
          </w:p>
        </w:tc>
      </w:tr>
      <w:tr>
        <w:trPr>
          <w:trHeight w:val="203"/>
        </w:trPr>
        <w:tc>
          <w:tcPr>
            <w:tcW w:w="4060" w:type="dxa"/>
            <w:vAlign w:val="bottom"/>
          </w:tcPr>
          <w:p>
            <w:pPr>
              <w:spacing w:after="0"/>
              <w:rPr>
                <w:sz w:val="17"/>
                <w:szCs w:val="17"/>
                <w:color w:val="auto"/>
              </w:rPr>
            </w:pP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Net cash used in financing</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activities.....................</w:t>
            </w: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(58,986)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(73,306)</w:t>
            </w:r>
          </w:p>
        </w:tc>
      </w:tr>
      <w:tr>
        <w:trPr>
          <w:trHeight w:val="203"/>
        </w:trPr>
        <w:tc>
          <w:tcPr>
            <w:tcW w:w="4060" w:type="dxa"/>
            <w:vAlign w:val="bottom"/>
          </w:tcPr>
          <w:p>
            <w:pPr>
              <w:spacing w:after="0"/>
              <w:rPr>
                <w:sz w:val="17"/>
                <w:szCs w:val="17"/>
                <w:color w:val="auto"/>
              </w:rPr>
            </w:pP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increase in cash and cash</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equivalents.........................</w:t>
            </w: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(12,299)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19,226</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Cash and cash equivalents at</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211,323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128,505</w:t>
            </w:r>
          </w:p>
        </w:tc>
      </w:tr>
      <w:tr>
        <w:trPr>
          <w:trHeight w:val="203"/>
        </w:trPr>
        <w:tc>
          <w:tcPr>
            <w:tcW w:w="4060" w:type="dxa"/>
            <w:vAlign w:val="bottom"/>
          </w:tcPr>
          <w:p>
            <w:pPr>
              <w:spacing w:after="0"/>
              <w:rPr>
                <w:sz w:val="17"/>
                <w:szCs w:val="17"/>
                <w:color w:val="auto"/>
              </w:rPr>
            </w:pP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199,024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$147,731</w:t>
            </w:r>
          </w:p>
        </w:tc>
      </w:tr>
      <w:tr>
        <w:trPr>
          <w:trHeight w:val="203"/>
        </w:trPr>
        <w:tc>
          <w:tcPr>
            <w:tcW w:w="4060" w:type="dxa"/>
            <w:vAlign w:val="bottom"/>
          </w:tcPr>
          <w:p>
            <w:pPr>
              <w:spacing w:after="0"/>
              <w:rPr>
                <w:sz w:val="17"/>
                <w:szCs w:val="17"/>
                <w:color w:val="auto"/>
              </w:rPr>
            </w:pP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9679"/>
          </w:cols>
          <w:pgMar w:left="780" w:top="514" w:right="1440" w:bottom="1440" w:gutter="0" w:footer="0" w:header="0"/>
        </w:sectPr>
      </w:pPr>
    </w:p>
    <w:bookmarkStart w:id="7" w:name="page8"/>
    <w:bookmarkEnd w:id="7"/>
    <w:p>
      <w:pPr>
        <w:jc w:val="center"/>
        <w:ind w:right="3039"/>
        <w:spacing w:after="0"/>
        <w:rPr>
          <w:sz w:val="20"/>
          <w:szCs w:val="20"/>
          <w:color w:val="auto"/>
        </w:rPr>
      </w:pPr>
      <w:r>
        <w:rPr>
          <w:rFonts w:ascii="Courier New" w:cs="Courier New" w:eastAsia="Courier New" w:hAnsi="Courier New"/>
          <w:sz w:val="18"/>
          <w:szCs w:val="18"/>
          <w:color w:val="auto"/>
        </w:rPr>
        <w:t>AMGEN INC.</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NOTES TO CONDENSED CONSOLIDATED FINANCIAL STATEMENTS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March 31, 1995</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Business</w:t>
      </w:r>
    </w:p>
    <w:p>
      <w:pPr>
        <w:spacing w:after="0" w:line="207" w:lineRule="exact"/>
        <w:rPr>
          <w:sz w:val="20"/>
          <w:szCs w:val="20"/>
          <w:color w:val="auto"/>
        </w:rPr>
      </w:pPr>
    </w:p>
    <w:p>
      <w:pPr>
        <w:jc w:val="both"/>
        <w:ind w:right="2939" w:firstLine="527"/>
        <w:spacing w:after="0" w:line="236" w:lineRule="auto"/>
        <w:rPr>
          <w:sz w:val="20"/>
          <w:szCs w:val="20"/>
          <w:color w:val="auto"/>
        </w:rPr>
      </w:pPr>
      <w:r>
        <w:rPr>
          <w:rFonts w:ascii="Courier New" w:cs="Courier New" w:eastAsia="Courier New" w:hAnsi="Courier New"/>
          <w:sz w:val="18"/>
          <w:szCs w:val="18"/>
          <w:color w:val="auto"/>
        </w:rPr>
        <w:t>Amgen Inc. ("Amgen" or the "Company") is a global biotechnology company that develops, manufactures and markets human therapeutics based on advanced cellular and molecular biology.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Principles of consolidation</w:t>
      </w:r>
    </w:p>
    <w:p>
      <w:pPr>
        <w:spacing w:after="0" w:line="207" w:lineRule="exact"/>
        <w:rPr>
          <w:sz w:val="20"/>
          <w:szCs w:val="20"/>
          <w:color w:val="auto"/>
        </w:rPr>
      </w:pPr>
    </w:p>
    <w:p>
      <w:pPr>
        <w:jc w:val="both"/>
        <w:ind w:right="2939" w:firstLine="527"/>
        <w:spacing w:after="0" w:line="238" w:lineRule="auto"/>
        <w:rPr>
          <w:sz w:val="20"/>
          <w:szCs w:val="20"/>
          <w:color w:val="auto"/>
        </w:rPr>
      </w:pPr>
      <w:r>
        <w:rPr>
          <w:rFonts w:ascii="Courier New" w:cs="Courier New" w:eastAsia="Courier New" w:hAnsi="Courier New"/>
          <w:sz w:val="18"/>
          <w:szCs w:val="18"/>
          <w:color w:val="auto"/>
        </w:rPr>
        <w:t>The consolidated financial statements include the accounts of the Company and its wholly owned subsidiaries as well as affiliated companies for which the Company has a controlling financial interest and exercises control over their operations ("majority controlled affiliates"). All material intercompany transactions and balances have been eliminated in consolidation. Investments in affiliated companies which are 50% owned and/or where the Company exercises significant influence over operations are accounted for using the equity method. All other equity investments are accounted for under the cost method. The caption "Loss of affiliates, net" includes Amgen's equity in the operating results of affiliated companies and the minority interest others hold in the operating results of Amgen's majority controlled affiliates.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Inventories are stated at the lower of cost or market. Cost is determined in a manner which approximates the first-in, first-out (FIFO) method. Inventories are shown net of applicable reserves and allowances. Inventories consist of the following (in thousands):</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March 31,</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3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Raw materials....................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$11,167</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$10,943</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Work in process..................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43,978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54,032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Finished goods...................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37,352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33,029</w:t>
            </w:r>
          </w:p>
        </w:tc>
      </w:tr>
      <w:tr>
        <w:trPr>
          <w:trHeight w:val="203"/>
        </w:trPr>
        <w:tc>
          <w:tcPr>
            <w:tcW w:w="3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$92,497</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$98,004</w:t>
            </w:r>
          </w:p>
        </w:tc>
      </w:tr>
      <w:tr>
        <w:trPr>
          <w:trHeight w:val="203"/>
        </w:trPr>
        <w:tc>
          <w:tcPr>
            <w:tcW w:w="3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ind w:left="220"/>
        <w:spacing w:after="0" w:line="238" w:lineRule="auto"/>
        <w:rPr>
          <w:sz w:val="20"/>
          <w:szCs w:val="20"/>
          <w:color w:val="auto"/>
        </w:rPr>
      </w:pPr>
      <w:r>
        <w:rPr>
          <w:rFonts w:ascii="Courier New" w:cs="Courier New" w:eastAsia="Courier New" w:hAnsi="Courier New"/>
          <w:sz w:val="18"/>
          <w:szCs w:val="18"/>
          <w:color w:val="auto"/>
        </w:rPr>
        <w:t>Product sales</w:t>
      </w:r>
    </w:p>
    <w:p>
      <w:pPr>
        <w:spacing w:after="0" w:line="202" w:lineRule="exact"/>
        <w:rPr>
          <w:sz w:val="20"/>
          <w:szCs w:val="20"/>
          <w:color w:val="auto"/>
        </w:rPr>
      </w:pPr>
    </w:p>
    <w:p>
      <w:pPr>
        <w:ind w:left="540"/>
        <w:spacing w:after="0"/>
        <w:tabs>
          <w:tab w:leader="none" w:pos="6720" w:val="left"/>
        </w:tabs>
        <w:rPr>
          <w:sz w:val="20"/>
          <w:szCs w:val="20"/>
          <w:color w:val="auto"/>
        </w:rPr>
      </w:pPr>
      <w:r>
        <w:rPr>
          <w:rFonts w:ascii="Courier New" w:cs="Courier New" w:eastAsia="Courier New" w:hAnsi="Courier New"/>
          <w:sz w:val="18"/>
          <w:szCs w:val="18"/>
          <w:color w:val="auto"/>
        </w:rPr>
        <w:t>Product sales consist of two products, EPOGEN(R) (Epoetin</w:t>
        <w:tab/>
        <w:t>alfa)</w:t>
      </w:r>
    </w:p>
    <w:p>
      <w:pPr>
        <w:spacing w:after="0" w:line="238" w:lineRule="auto"/>
        <w:rPr>
          <w:sz w:val="20"/>
          <w:szCs w:val="20"/>
          <w:color w:val="auto"/>
        </w:rPr>
      </w:pPr>
      <w:r>
        <w:rPr>
          <w:rFonts w:ascii="Courier New" w:cs="Courier New" w:eastAsia="Courier New" w:hAnsi="Courier New"/>
          <w:sz w:val="18"/>
          <w:szCs w:val="18"/>
          <w:color w:val="auto"/>
        </w:rPr>
        <w:t>and NEUPOGEN(R) (Filgrastim).</w:t>
      </w:r>
    </w:p>
    <w:p>
      <w:pPr>
        <w:sectPr>
          <w:pgSz w:w="11900" w:h="16838" w:orient="portrait"/>
          <w:cols w:equalWidth="0" w:num="1">
            <w:col w:w="10219"/>
          </w:cols>
          <w:pgMar w:left="240" w:top="514" w:right="1440" w:bottom="1440" w:gutter="0" w:footer="0" w:header="0"/>
        </w:sectPr>
      </w:pPr>
    </w:p>
    <w:bookmarkStart w:id="8" w:name="page9"/>
    <w:bookmarkEnd w:id="8"/>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As a result of an agreement between Amgen and Ortho Pharmaceutical Corporation, a subsidiary of Johnson &amp; Johnson ("Johnson &amp; Johnson") covering the U.S. market for the Company's Epoetin alfa product, Amgen does not recognize product sales it makes into the contractual market of Johnson &amp; Johnson and does recognize the product sales made by Johnson &amp; Johnson into Amgen's contractual market. These sales amounts, and adjustments thereto, are derived from third-party data on shipments to end users and their usage as the data becomes available (see Note 4, "Contingencies - Johnson &amp; Johnson arbitration").</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jc w:val="both"/>
        <w:ind w:right="2939" w:firstLine="527"/>
        <w:spacing w:after="0" w:line="235" w:lineRule="auto"/>
        <w:rPr>
          <w:sz w:val="20"/>
          <w:szCs w:val="20"/>
          <w:color w:val="auto"/>
        </w:rPr>
      </w:pPr>
      <w:r>
        <w:rPr>
          <w:rFonts w:ascii="Courier New" w:cs="Courier New" w:eastAsia="Courier New" w:hAnsi="Courier New"/>
          <w:sz w:val="18"/>
          <w:szCs w:val="18"/>
          <w:color w:val="auto"/>
        </w:rPr>
        <w:t>Income taxes are accounted for in accordance with Statement of Financial Accounting Standards ("SFAS") No. 109 (Note 3).</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jc w:val="both"/>
        <w:ind w:right="2939" w:firstLine="527"/>
        <w:spacing w:after="0" w:line="271" w:lineRule="auto"/>
        <w:rPr>
          <w:sz w:val="20"/>
          <w:szCs w:val="20"/>
          <w:color w:val="auto"/>
        </w:rPr>
      </w:pPr>
      <w:r>
        <w:rPr>
          <w:rFonts w:ascii="Courier New" w:cs="Courier New" w:eastAsia="Courier New" w:hAnsi="Courier New"/>
          <w:sz w:val="16"/>
          <w:szCs w:val="16"/>
          <w:color w:val="auto"/>
        </w:rPr>
        <w:t>Earnings per share are computed in accordance with the treasury stock method. Primary and fully diluted earnings per share are based upon the weighted average number of common shares and dilutive common stock equivalents during the period in which they were outstanding. Common stock equivalents include outstanding options under the Company's stock option plans and warrants to purchase shares of the Company's common stock. The warrants expired on June 30, 1994.</w:t>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financial information for the three months ended March 31, 1995 and 1994 is unaudited but includes all adjustments (consisting only of normal recurring accruals) which the Company considers necessary for a fair presentation of the results of operations for these periods. Interim results are not necessarily indicative of results for the full fiscal year.</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Reclassification</w:t>
      </w:r>
    </w:p>
    <w:p>
      <w:pPr>
        <w:spacing w:after="0" w:line="207" w:lineRule="exact"/>
        <w:rPr>
          <w:sz w:val="20"/>
          <w:szCs w:val="20"/>
          <w:color w:val="auto"/>
        </w:rPr>
      </w:pPr>
    </w:p>
    <w:p>
      <w:pPr>
        <w:jc w:val="both"/>
        <w:ind w:right="2939" w:firstLine="527"/>
        <w:spacing w:after="0" w:line="235" w:lineRule="auto"/>
        <w:rPr>
          <w:sz w:val="20"/>
          <w:szCs w:val="20"/>
          <w:color w:val="auto"/>
        </w:rPr>
      </w:pPr>
      <w:r>
        <w:rPr>
          <w:rFonts w:ascii="Courier New" w:cs="Courier New" w:eastAsia="Courier New" w:hAnsi="Courier New"/>
          <w:sz w:val="18"/>
          <w:szCs w:val="18"/>
          <w:color w:val="auto"/>
        </w:rPr>
        <w:t>Certain prior period amounts have been reclassified to conform to the current period presentation.</w:t>
      </w:r>
    </w:p>
    <w:p>
      <w:pPr>
        <w:spacing w:after="0" w:line="203"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w:t>
      </w:r>
    </w:p>
    <w:p>
      <w:pPr>
        <w:spacing w:after="0" w:line="207" w:lineRule="exact"/>
        <w:rPr>
          <w:sz w:val="20"/>
          <w:szCs w:val="20"/>
          <w:color w:val="auto"/>
        </w:rPr>
      </w:pPr>
    </w:p>
    <w:p>
      <w:pPr>
        <w:jc w:val="both"/>
        <w:ind w:right="2939" w:firstLine="527"/>
        <w:spacing w:after="0" w:line="236" w:lineRule="auto"/>
        <w:rPr>
          <w:sz w:val="20"/>
          <w:szCs w:val="20"/>
          <w:color w:val="auto"/>
        </w:rPr>
      </w:pPr>
      <w:r>
        <w:rPr>
          <w:rFonts w:ascii="Courier New" w:cs="Courier New" w:eastAsia="Courier New" w:hAnsi="Courier New"/>
          <w:sz w:val="18"/>
          <w:szCs w:val="18"/>
          <w:color w:val="auto"/>
        </w:rPr>
        <w:t>As of March 31, 1995, $99.3 million of commercial paper was outstanding. These borrowings had maturities of three months or less and had effective interest rates averaging 6.1%.</w:t>
      </w:r>
    </w:p>
    <w:p>
      <w:pPr>
        <w:spacing w:after="0" w:line="209" w:lineRule="exact"/>
        <w:rPr>
          <w:sz w:val="20"/>
          <w:szCs w:val="20"/>
          <w:color w:val="auto"/>
        </w:rPr>
      </w:pPr>
    </w:p>
    <w:p>
      <w:pPr>
        <w:jc w:val="both"/>
        <w:ind w:right="2939" w:firstLine="527"/>
        <w:spacing w:after="0" w:line="236" w:lineRule="auto"/>
        <w:rPr>
          <w:sz w:val="20"/>
          <w:szCs w:val="20"/>
          <w:color w:val="auto"/>
        </w:rPr>
      </w:pPr>
      <w:r>
        <w:rPr>
          <w:rFonts w:ascii="Courier New" w:cs="Courier New" w:eastAsia="Courier New" w:hAnsi="Courier New"/>
          <w:sz w:val="18"/>
          <w:szCs w:val="18"/>
          <w:color w:val="auto"/>
        </w:rPr>
        <w:t>As of March 31, 1995, $150.0 million was available under the Company's line of credit for borrowing and to support the Company's commercial paper program.</w:t>
      </w:r>
    </w:p>
    <w:p>
      <w:pPr>
        <w:sectPr>
          <w:pgSz w:w="11900" w:h="16838" w:orient="portrait"/>
          <w:cols w:equalWidth="0" w:num="1">
            <w:col w:w="10219"/>
          </w:cols>
          <w:pgMar w:left="240" w:top="520" w:right="1440" w:bottom="1440" w:gutter="0" w:footer="0" w:header="0"/>
        </w:sectPr>
      </w:pPr>
    </w:p>
    <w:bookmarkStart w:id="9" w:name="page10"/>
    <w:bookmarkEnd w:id="9"/>
    <w:p>
      <w:pPr>
        <w:ind w:left="540"/>
        <w:spacing w:after="0"/>
        <w:rPr>
          <w:sz w:val="20"/>
          <w:szCs w:val="20"/>
          <w:color w:val="auto"/>
        </w:rPr>
      </w:pPr>
      <w:r>
        <w:rPr>
          <w:rFonts w:ascii="Courier New" w:cs="Courier New" w:eastAsia="Courier New" w:hAnsi="Courier New"/>
          <w:sz w:val="18"/>
          <w:szCs w:val="18"/>
          <w:color w:val="auto"/>
        </w:rPr>
        <w:t>Long-term debt consists of the following (in thousands):</w:t>
      </w:r>
    </w:p>
    <w:p>
      <w:pPr>
        <w:spacing w:after="0" w:line="20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March 31,</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3700" w:type="dxa"/>
            <w:vAlign w:val="bottom"/>
          </w:tcPr>
          <w:p>
            <w:pPr>
              <w:spacing w:after="0"/>
              <w:rPr>
                <w:sz w:val="17"/>
                <w:szCs w:val="17"/>
                <w:color w:val="auto"/>
              </w:rPr>
            </w:pPr>
          </w:p>
        </w:tc>
        <w:tc>
          <w:tcPr>
            <w:tcW w:w="1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1995</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7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Medium Term Notes.................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$113,000</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$113,000</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Promissory notes..................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68,200</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68,200</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long-term obligations.......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2,252</w:t>
            </w:r>
          </w:p>
        </w:tc>
      </w:tr>
      <w:tr>
        <w:trPr>
          <w:trHeight w:val="203"/>
        </w:trPr>
        <w:tc>
          <w:tcPr>
            <w:tcW w:w="37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181,223</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183,452</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37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$181,205</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$183,407</w:t>
            </w:r>
          </w:p>
        </w:tc>
      </w:tr>
      <w:tr>
        <w:trPr>
          <w:trHeight w:val="203"/>
        </w:trPr>
        <w:tc>
          <w:tcPr>
            <w:tcW w:w="37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Company has registered $200.0 million of unsecured medium term debt securities ("Medium Term Notes") of which $113.0 million were outstanding at March 31, 1995. These Medium Term Notes bear interest at fixed rates averaging 5.8% and mature in two to eight years.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Income taxes</w:t>
            </w:r>
          </w:p>
        </w:tc>
        <w:tc>
          <w:tcPr>
            <w:tcW w:w="28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The provision for</w:t>
            </w:r>
          </w:p>
        </w:tc>
        <w:tc>
          <w:tcPr>
            <w:tcW w:w="2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6"/>
              </w:rPr>
              <w:t>income taxes  consists of</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w w:val="96"/>
              </w:rPr>
              <w:t>the following  (in</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28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74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740" w:type="dxa"/>
            <w:vAlign w:val="bottom"/>
            <w:gridSpan w:val="2"/>
          </w:tcPr>
          <w:p>
            <w:pPr>
              <w:jc w:val="right"/>
              <w:ind w:right="129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c>
          <w:tcPr>
            <w:tcW w:w="19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160" w:type="dxa"/>
            <w:vAlign w:val="bottom"/>
          </w:tcPr>
          <w:p>
            <w:pPr>
              <w:ind w:left="1000"/>
              <w:spacing w:after="0"/>
              <w:rPr>
                <w:sz w:val="20"/>
                <w:szCs w:val="20"/>
                <w:color w:val="auto"/>
              </w:rPr>
            </w:pPr>
            <w:r>
              <w:rPr>
                <w:rFonts w:ascii="Courier New" w:cs="Courier New" w:eastAsia="Courier New" w:hAnsi="Courier New"/>
                <w:sz w:val="9"/>
                <w:szCs w:val="9"/>
                <w:color w:val="auto"/>
                <w:w w:val="72"/>
              </w:rPr>
              <w:t>Federal......................</w:t>
            </w:r>
          </w:p>
        </w:tc>
        <w:tc>
          <w:tcPr>
            <w:tcW w:w="2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$48,538</w:t>
            </w:r>
          </w:p>
        </w:tc>
        <w:tc>
          <w:tcPr>
            <w:tcW w:w="19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$49,861</w:t>
            </w:r>
          </w:p>
        </w:tc>
      </w:tr>
      <w:tr>
        <w:trPr>
          <w:trHeight w:val="203"/>
        </w:trPr>
        <w:tc>
          <w:tcPr>
            <w:tcW w:w="380" w:type="dxa"/>
            <w:vAlign w:val="bottom"/>
          </w:tcPr>
          <w:p>
            <w:pPr>
              <w:spacing w:after="0"/>
              <w:rPr>
                <w:sz w:val="17"/>
                <w:szCs w:val="17"/>
                <w:color w:val="auto"/>
              </w:rPr>
            </w:pPr>
          </w:p>
        </w:tc>
        <w:tc>
          <w:tcPr>
            <w:tcW w:w="2160" w:type="dxa"/>
            <w:vAlign w:val="bottom"/>
          </w:tcPr>
          <w:p>
            <w:pPr>
              <w:ind w:left="1000"/>
              <w:spacing w:after="0"/>
              <w:rPr>
                <w:sz w:val="20"/>
                <w:szCs w:val="20"/>
                <w:color w:val="auto"/>
              </w:rPr>
            </w:pPr>
            <w:r>
              <w:rPr>
                <w:rFonts w:ascii="Courier New" w:cs="Courier New" w:eastAsia="Courier New" w:hAnsi="Courier New"/>
                <w:sz w:val="9"/>
                <w:szCs w:val="9"/>
                <w:color w:val="auto"/>
                <w:w w:val="72"/>
              </w:rPr>
              <w:t>State........................</w:t>
            </w:r>
          </w:p>
        </w:tc>
        <w:tc>
          <w:tcPr>
            <w:tcW w:w="2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4,779</w:t>
            </w:r>
          </w:p>
        </w:tc>
        <w:tc>
          <w:tcPr>
            <w:tcW w:w="19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7,802</w:t>
            </w:r>
          </w:p>
        </w:tc>
      </w:tr>
      <w:tr>
        <w:trPr>
          <w:trHeight w:val="203"/>
        </w:trPr>
        <w:tc>
          <w:tcPr>
            <w:tcW w:w="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$53,317</w:t>
            </w:r>
          </w:p>
        </w:tc>
        <w:tc>
          <w:tcPr>
            <w:tcW w:w="19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$57,663</w:t>
            </w:r>
          </w:p>
        </w:tc>
      </w:tr>
      <w:tr>
        <w:trPr>
          <w:trHeight w:val="203"/>
        </w:trPr>
        <w:tc>
          <w:tcPr>
            <w:tcW w:w="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Contingencies</w:t>
            </w:r>
          </w:p>
        </w:tc>
        <w:tc>
          <w:tcPr>
            <w:tcW w:w="28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Johnson &amp; Johnson arbitration</w:t>
      </w:r>
    </w:p>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In September 1985, the Company granted Johnson &amp; Johnson an exclusive license under certain patented technology and know-how of the Company to sell erythropoietin throughout the United States for all human uses except dialysis and diagnostics.</w:t>
      </w:r>
    </w:p>
    <w:p>
      <w:pPr>
        <w:spacing w:after="0" w:line="207" w:lineRule="exact"/>
        <w:rPr>
          <w:sz w:val="20"/>
          <w:szCs w:val="20"/>
          <w:color w:val="auto"/>
        </w:rPr>
      </w:pPr>
    </w:p>
    <w:p>
      <w:pPr>
        <w:jc w:val="both"/>
        <w:ind w:right="2939" w:firstLine="527"/>
        <w:spacing w:after="0" w:line="268" w:lineRule="auto"/>
        <w:rPr>
          <w:sz w:val="20"/>
          <w:szCs w:val="20"/>
          <w:color w:val="auto"/>
        </w:rPr>
      </w:pPr>
      <w:r>
        <w:rPr>
          <w:rFonts w:ascii="Courier New" w:cs="Courier New" w:eastAsia="Courier New" w:hAnsi="Courier New"/>
          <w:sz w:val="16"/>
          <w:szCs w:val="16"/>
          <w:color w:val="auto"/>
        </w:rPr>
        <w:t>In January 1989, Johnson &amp; Johnson initiated arbitration proceedings with respect to a number of disputes which had arisen between Amgen and Johnson &amp; Johnson as to the respective rights and obligations of the parties under the various agreements between them. Amgen filed a cross petition for arbitration raising additional</w:t>
      </w:r>
    </w:p>
    <w:p>
      <w:pPr>
        <w:spacing w:after="0"/>
        <w:tabs>
          <w:tab w:leader="none" w:pos="1460" w:val="left"/>
          <w:tab w:leader="none" w:pos="2720" w:val="left"/>
          <w:tab w:leader="none" w:pos="3140" w:val="left"/>
          <w:tab w:leader="none" w:pos="3680" w:val="left"/>
          <w:tab w:leader="none" w:pos="5260" w:val="left"/>
          <w:tab w:leader="none" w:pos="5780" w:val="left"/>
          <w:tab w:leader="none" w:pos="6520" w:val="left"/>
          <w:tab w:leader="none" w:pos="6940" w:val="left"/>
        </w:tabs>
        <w:rPr>
          <w:sz w:val="20"/>
          <w:szCs w:val="20"/>
          <w:color w:val="auto"/>
        </w:rPr>
      </w:pPr>
      <w:r>
        <w:rPr>
          <w:rFonts w:ascii="Courier New" w:cs="Courier New" w:eastAsia="Courier New" w:hAnsi="Courier New"/>
          <w:sz w:val="18"/>
          <w:szCs w:val="18"/>
          <w:color w:val="auto"/>
        </w:rPr>
        <w:t>disputes for</w:t>
        <w:tab/>
        <w:t>resolution</w:t>
        <w:tab/>
        <w:t>by</w:t>
        <w:tab/>
        <w:t>the</w:t>
        <w:tab/>
        <w:t>arbitrator.</w:t>
      </w:r>
      <w:r>
        <w:rPr>
          <w:sz w:val="20"/>
          <w:szCs w:val="20"/>
          <w:color w:val="auto"/>
        </w:rPr>
        <w:tab/>
      </w:r>
      <w:r>
        <w:rPr>
          <w:rFonts w:ascii="Courier New" w:cs="Courier New" w:eastAsia="Courier New" w:hAnsi="Courier New"/>
          <w:sz w:val="18"/>
          <w:szCs w:val="18"/>
          <w:color w:val="auto"/>
        </w:rPr>
        <w:t>The</w:t>
        <w:tab/>
        <w:t>scope</w:t>
        <w:tab/>
        <w:t>of</w:t>
      </w:r>
      <w:r>
        <w:rPr>
          <w:sz w:val="20"/>
          <w:szCs w:val="20"/>
          <w:color w:val="auto"/>
        </w:rPr>
        <w:tab/>
      </w:r>
      <w:r>
        <w:rPr>
          <w:rFonts w:ascii="Courier New" w:cs="Courier New" w:eastAsia="Courier New" w:hAnsi="Courier New"/>
          <w:sz w:val="16"/>
          <w:szCs w:val="16"/>
          <w:color w:val="auto"/>
        </w:rPr>
        <w:t>the</w:t>
      </w:r>
    </w:p>
    <w:p>
      <w:pPr>
        <w:sectPr>
          <w:pgSz w:w="11900" w:h="16838" w:orient="portrait"/>
          <w:cols w:equalWidth="0" w:num="1">
            <w:col w:w="10219"/>
          </w:cols>
          <w:pgMar w:left="240" w:top="514" w:right="1440" w:bottom="1440" w:gutter="0" w:footer="0" w:header="0"/>
        </w:sectPr>
      </w:pPr>
    </w:p>
    <w:bookmarkStart w:id="10" w:name="page11"/>
    <w:bookmarkEnd w:id="10"/>
    <w:p>
      <w:pPr>
        <w:jc w:val="both"/>
        <w:ind w:right="2939"/>
        <w:spacing w:after="0" w:line="235" w:lineRule="auto"/>
        <w:rPr>
          <w:sz w:val="20"/>
          <w:szCs w:val="20"/>
          <w:color w:val="auto"/>
        </w:rPr>
      </w:pPr>
      <w:r>
        <w:rPr>
          <w:rFonts w:ascii="Courier New" w:cs="Courier New" w:eastAsia="Courier New" w:hAnsi="Courier New"/>
          <w:sz w:val="18"/>
          <w:szCs w:val="18"/>
          <w:color w:val="auto"/>
        </w:rPr>
        <w:t>arbitration covers erythropoietin, hepatitis B vaccine and interleukin-2.</w:t>
      </w:r>
    </w:p>
    <w:p>
      <w:pPr>
        <w:spacing w:after="0" w:line="208"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In April 1990, the arbitrator ruled that Johnson &amp; Johnson must purchase from Amgen all of Johnson &amp; Johnson's actual United States sales requirements of recombinant human erythropoietin. In December 1990, the U.S. Food and Drug Administration approved Amgen's application to name Johnson &amp; Johnson a distributor of Epoetin alfa under the trademark PROCRIT(R). In January 1991, Johnson &amp; Johnson began distributing Epoetin alfa.</w:t>
      </w:r>
    </w:p>
    <w:p>
      <w:pPr>
        <w:spacing w:after="0" w:line="205" w:lineRule="exact"/>
        <w:rPr>
          <w:sz w:val="20"/>
          <w:szCs w:val="20"/>
          <w:color w:val="auto"/>
        </w:rPr>
      </w:pPr>
    </w:p>
    <w:p>
      <w:pPr>
        <w:ind w:left="540"/>
        <w:spacing w:after="0"/>
        <w:tabs>
          <w:tab w:leader="none" w:pos="6520" w:val="left"/>
        </w:tabs>
        <w:rPr>
          <w:sz w:val="20"/>
          <w:szCs w:val="20"/>
          <w:color w:val="auto"/>
        </w:rPr>
      </w:pPr>
      <w:r>
        <w:rPr>
          <w:rFonts w:ascii="Courier New" w:cs="Courier New" w:eastAsia="Courier New" w:hAnsi="Courier New"/>
          <w:sz w:val="18"/>
          <w:szCs w:val="18"/>
          <w:color w:val="auto"/>
        </w:rPr>
        <w:t>In June 1991, the arbitrator issued an opinion awarding</w:t>
      </w:r>
      <w:r>
        <w:rPr>
          <w:sz w:val="20"/>
          <w:szCs w:val="20"/>
          <w:color w:val="auto"/>
        </w:rPr>
        <w:tab/>
      </w:r>
      <w:r>
        <w:rPr>
          <w:rFonts w:ascii="Courier New" w:cs="Courier New" w:eastAsia="Courier New" w:hAnsi="Courier New"/>
          <w:sz w:val="16"/>
          <w:szCs w:val="16"/>
          <w:color w:val="auto"/>
        </w:rPr>
        <w:t>Johnson</w:t>
      </w:r>
    </w:p>
    <w:p>
      <w:pPr>
        <w:spacing w:after="0" w:line="4" w:lineRule="exact"/>
        <w:rPr>
          <w:sz w:val="20"/>
          <w:szCs w:val="20"/>
          <w:color w:val="auto"/>
        </w:rPr>
      </w:pPr>
    </w:p>
    <w:p>
      <w:pPr>
        <w:jc w:val="both"/>
        <w:ind w:right="2939" w:firstLine="8"/>
        <w:spacing w:after="0" w:line="238"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Johnson $164.0 million on its claims regarding erythropoietin. In September 1992, the arbitrator found that Johnson &amp; Johnson had breached its obligations regarding hepatitis B vaccine and interleukin-2, and in January 1993 awarded the Company approximately $90.0 million in damages against Johnson &amp; Johnson. In January 1993, the Company paid Johnson &amp; Johnson the sum of $82.4 million, representing the difference between the damages awarded Johnson &amp; Johnson as a result of its erythropoietin claims, and the amounts awarded Amgen against Johnson &amp; Johnson as a result of its hepatitis B vaccine and interleukin-2 claims, plus interest. Johnson &amp; Johnson returned to the Company the rights to develop and market hepatitis B vaccine and interleukin-2 in March 1991.</w:t>
      </w:r>
    </w:p>
    <w:p>
      <w:pPr>
        <w:spacing w:after="0" w:line="207" w:lineRule="exact"/>
        <w:rPr>
          <w:sz w:val="20"/>
          <w:szCs w:val="20"/>
          <w:color w:val="auto"/>
        </w:rPr>
      </w:pPr>
    </w:p>
    <w:p>
      <w:pPr>
        <w:jc w:val="both"/>
        <w:ind w:right="2939" w:firstLine="527"/>
        <w:spacing w:after="0" w:line="238" w:lineRule="auto"/>
        <w:rPr>
          <w:sz w:val="20"/>
          <w:szCs w:val="20"/>
          <w:color w:val="auto"/>
        </w:rPr>
      </w:pPr>
      <w:r>
        <w:rPr>
          <w:rFonts w:ascii="Courier New" w:cs="Courier New" w:eastAsia="Courier New" w:hAnsi="Courier New"/>
          <w:sz w:val="18"/>
          <w:szCs w:val="18"/>
          <w:color w:val="auto"/>
        </w:rPr>
        <w:t>The Company and Johnson &amp; Johnson are required to compensate each other for Epoetin alfa sales which either party makes into the other party's contractual market. The Company has established and is employing an accounting methodology to assign the proceeds of sales of EPOGEN(R) and PROCRIT(R) in Amgen's and Johnson &amp; Johnson's respective contractual markets. The Company has made payments to Johnson &amp; Johnson based upon the results of the Company's accounting methodology. Johnson &amp; Johnson has disputed the methodology employed by the Company and is proposing an alternative methodology for adoption by the arbitrator. If, as a result of the arbitration proceeding, a methodology different from that currently employed by the Company is instituted to assign the proceeds of sales between the parties, it may yield results that are different from the results of the accounting methodology currently employed by the Company. As a result of the arbitration, it is possible that the Company would recognize a different level of EPOGEN(R) sales than are currently being recognized. As a result of the arbitration, the Company may be required to pay additional compensation to Johnson &amp; Johnson for sales during prior periods, or Johnson &amp; Johnson may be required to pay compensation to the Company for such prior period sales. Due to the uncertainties of any arbitrated result, the Company has established net liabilities that exceed the amounts paid to Johnson &amp; Johnson.</w:t>
      </w:r>
    </w:p>
    <w:p>
      <w:pPr>
        <w:spacing w:after="0" w:line="211"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A trial date has been set for October 2, 1995 before the arbitrator regarding the accounting methodologies and compensation for sales by Johnson &amp; Johnson into Amgen's contractual market and sales by Amgen into Johnson &amp; Johnson's contractual market. Discovery as to these issues is in progress.</w:t>
      </w:r>
    </w:p>
    <w:p>
      <w:pPr>
        <w:sectPr>
          <w:pgSz w:w="11900" w:h="16838" w:orient="portrait"/>
          <w:cols w:equalWidth="0" w:num="1">
            <w:col w:w="10219"/>
          </w:cols>
          <w:pgMar w:left="240" w:top="520" w:right="1440" w:bottom="1440" w:gutter="0" w:footer="0" w:header="0"/>
        </w:sectPr>
      </w:pPr>
    </w:p>
    <w:bookmarkStart w:id="11" w:name="page12"/>
    <w:bookmarkEnd w:id="11"/>
    <w:p>
      <w:pPr>
        <w:ind w:left="220"/>
        <w:spacing w:after="0"/>
        <w:rPr>
          <w:sz w:val="20"/>
          <w:szCs w:val="20"/>
          <w:color w:val="auto"/>
        </w:rPr>
      </w:pPr>
      <w:r>
        <w:rPr>
          <w:rFonts w:ascii="Courier New" w:cs="Courier New" w:eastAsia="Courier New" w:hAnsi="Courier New"/>
          <w:sz w:val="18"/>
          <w:szCs w:val="18"/>
          <w:color w:val="auto"/>
        </w:rPr>
        <w:t>Synergen litigation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Acquisition litigation</w:t>
      </w:r>
    </w:p>
    <w:p>
      <w:pPr>
        <w:spacing w:after="0" w:line="207" w:lineRule="exact"/>
        <w:rPr>
          <w:sz w:val="20"/>
          <w:szCs w:val="20"/>
          <w:color w:val="auto"/>
        </w:rPr>
      </w:pPr>
    </w:p>
    <w:p>
      <w:pPr>
        <w:ind w:right="2939" w:firstLine="527"/>
        <w:spacing w:after="0" w:line="238" w:lineRule="auto"/>
        <w:rPr>
          <w:sz w:val="20"/>
          <w:szCs w:val="20"/>
          <w:color w:val="auto"/>
        </w:rPr>
      </w:pPr>
      <w:r>
        <w:rPr>
          <w:rFonts w:ascii="Courier New" w:cs="Courier New" w:eastAsia="Courier New" w:hAnsi="Courier New"/>
          <w:sz w:val="18"/>
          <w:szCs w:val="18"/>
          <w:color w:val="auto"/>
        </w:rPr>
        <w:t>The Company and its wholly owned subsidiary, Amgen Boulder Inc. (formerly Synergen), have been named as defendants in several lawsuits filed in connection with the Company's December 1994 acquisition of Synergen (the ``Acquisition''). One suit, brought by plaintiffs seeking to represent a class of Synergen warrant holders who claim to have been deprived of the benefit of their warrants, includes a request for general damages in the sum of $34.3 million. The balance of the suits have been brought by plaintiffs who seek to represent a class of stockholders of Synergen common stock. These plaintiffs seek an unspecified amount of compensatory damages, an order rescinding the Acquisition and related equitable relief based upon allegations that the defendants breached their fiduciary duties by failing to maximize stockholder value and defrauded the plaintiffs by omitting to disclose allegedly material information concerning Synergen's future prospects.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ANTRIL(TM) litigation</w:t>
      </w:r>
    </w:p>
    <w:p>
      <w:pPr>
        <w:spacing w:after="0" w:line="207" w:lineRule="exact"/>
        <w:rPr>
          <w:sz w:val="20"/>
          <w:szCs w:val="20"/>
          <w:color w:val="auto"/>
        </w:rPr>
      </w:pPr>
    </w:p>
    <w:p>
      <w:pPr>
        <w:jc w:val="both"/>
        <w:ind w:right="2939" w:firstLine="527"/>
        <w:spacing w:after="0" w:line="270" w:lineRule="auto"/>
        <w:rPr>
          <w:sz w:val="20"/>
          <w:szCs w:val="20"/>
          <w:color w:val="auto"/>
        </w:rPr>
      </w:pPr>
      <w:r>
        <w:rPr>
          <w:rFonts w:ascii="Courier New" w:cs="Courier New" w:eastAsia="Courier New" w:hAnsi="Courier New"/>
          <w:sz w:val="16"/>
          <w:szCs w:val="16"/>
          <w:color w:val="auto"/>
        </w:rPr>
        <w:t>Several lawsuits have been filed against Synergen alleging misrepresentations in connection with its research and development of ANTRIL(TM) for the treatment of sepsis. One suit brought by three Synergen stockholders alleges violations of state securities laws, fraud and misrepresentation and seeks an unspecified amount of compensatory damages and punitive damages. Another suit, proposed as a class action, filed by a limited partner of a partnership with which Synergen is affiliated, seeks rescission of certain payments made to one of the defendants (or unspecified damages not less than $50.0 million) and treble damages based on a variety of allegations.</w:t>
      </w:r>
    </w:p>
    <w:p>
      <w:pPr>
        <w:spacing w:after="0" w:line="189" w:lineRule="exact"/>
        <w:rPr>
          <w:sz w:val="20"/>
          <w:szCs w:val="20"/>
          <w:color w:val="auto"/>
        </w:rPr>
      </w:pPr>
    </w:p>
    <w:p>
      <w:pPr>
        <w:jc w:val="both"/>
        <w:ind w:right="2939" w:firstLine="527"/>
        <w:spacing w:after="0" w:line="268" w:lineRule="auto"/>
        <w:rPr>
          <w:sz w:val="20"/>
          <w:szCs w:val="20"/>
          <w:color w:val="auto"/>
        </w:rPr>
      </w:pPr>
      <w:r>
        <w:rPr>
          <w:rFonts w:ascii="Courier New" w:cs="Courier New" w:eastAsia="Courier New" w:hAnsi="Courier New"/>
          <w:sz w:val="16"/>
          <w:szCs w:val="16"/>
          <w:color w:val="auto"/>
        </w:rPr>
        <w:t>While it is not possible to predict accurately or determine the eventual outcome of the Johnson &amp; Johnson arbitration, the Synergen</w:t>
      </w:r>
    </w:p>
    <w:p>
      <w:pPr>
        <w:jc w:val="both"/>
        <w:ind w:right="2939"/>
        <w:spacing w:after="0" w:line="237" w:lineRule="auto"/>
        <w:rPr>
          <w:sz w:val="20"/>
          <w:szCs w:val="20"/>
          <w:color w:val="auto"/>
        </w:rPr>
      </w:pPr>
      <w:r>
        <w:rPr>
          <w:rFonts w:ascii="Courier New" w:cs="Courier New" w:eastAsia="Courier New" w:hAnsi="Courier New"/>
          <w:sz w:val="18"/>
          <w:szCs w:val="18"/>
          <w:color w:val="auto"/>
        </w:rPr>
        <w:t>litigation or various other legal proceedings (including patent disputes) involving Amgen, the Company believes that the outcome of these proceedings will not have a material adverse effect on its financial statements.</w:t>
      </w:r>
    </w:p>
    <w:p>
      <w:pPr>
        <w:spacing w:after="0" w:line="202"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w:t>
      </w:r>
    </w:p>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During the three months ended March 31, 1995, the Company repurchased 1.2 million shares of its common stock at a total cost of $75.2 million under its common stock repurchase program. At March 31, 1995, $256.0 million of the amount approved by the Board of Directors remained available for repurchase through December 31, 1995. Stock repurchased under the program has been retired and such repurchases offset the dilutive effect of the Company's stock option and stock purchase plans.</w:t>
      </w:r>
    </w:p>
    <w:p>
      <w:pPr>
        <w:sectPr>
          <w:pgSz w:w="11900" w:h="16838" w:orient="portrait"/>
          <w:cols w:equalWidth="0" w:num="1">
            <w:col w:w="10219"/>
          </w:cols>
          <w:pgMar w:left="240" w:top="514" w:right="1440" w:bottom="1440" w:gutter="0" w:footer="0" w:header="0"/>
        </w:sectPr>
      </w:pPr>
    </w:p>
    <w:bookmarkStart w:id="12" w:name="page13"/>
    <w:bookmarkEnd w:id="12"/>
    <w:p>
      <w:pPr>
        <w:jc w:val="both"/>
        <w:ind w:left="1060" w:right="29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jc w:val="both"/>
        <w:ind w:right="2939" w:firstLine="527"/>
        <w:spacing w:after="0" w:line="268" w:lineRule="auto"/>
        <w:rPr>
          <w:sz w:val="20"/>
          <w:szCs w:val="20"/>
          <w:color w:val="auto"/>
        </w:rPr>
      </w:pPr>
      <w:r>
        <w:rPr>
          <w:rFonts w:ascii="Courier New" w:cs="Courier New" w:eastAsia="Courier New" w:hAnsi="Courier New"/>
          <w:sz w:val="16"/>
          <w:szCs w:val="16"/>
          <w:color w:val="auto"/>
        </w:rPr>
        <w:t>Cash provided by operating activities has been and is expected to continue to be the Company's primary source of funds. During the three months ended March 31, 1995, operations provided $156.3 million of cash compared with $116.7 million during the same period last</w:t>
      </w:r>
    </w:p>
    <w:p>
      <w:pPr>
        <w:spacing w:after="0" w:line="1" w:lineRule="exact"/>
        <w:rPr>
          <w:sz w:val="20"/>
          <w:szCs w:val="20"/>
          <w:color w:val="auto"/>
        </w:rPr>
      </w:pPr>
    </w:p>
    <w:p>
      <w:pPr>
        <w:jc w:val="both"/>
        <w:ind w:right="2939"/>
        <w:spacing w:after="0" w:line="236" w:lineRule="auto"/>
        <w:rPr>
          <w:sz w:val="20"/>
          <w:szCs w:val="20"/>
          <w:color w:val="auto"/>
        </w:rPr>
      </w:pPr>
      <w:r>
        <w:rPr>
          <w:rFonts w:ascii="Courier New" w:cs="Courier New" w:eastAsia="Courier New" w:hAnsi="Courier New"/>
          <w:sz w:val="18"/>
          <w:szCs w:val="18"/>
          <w:color w:val="auto"/>
        </w:rPr>
        <w:t>year. The Company had cash, cash equivalents and marketable securities of $767.4 million at March 31, 1995, compared with $696.7 million at December 31, 1994.</w:t>
      </w:r>
    </w:p>
    <w:p>
      <w:pPr>
        <w:spacing w:after="0" w:line="209"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Capital expenditures totaled $25.0 million for the three months ended March 31, 1995, compared with $37.0 million for the same period a year ago. Over the next few years, the Company expects to spend approximately $100.0 million to $200.0 million per year on capital projects to expand the Company's global operations.</w:t>
      </w:r>
    </w:p>
    <w:p>
      <w:pPr>
        <w:spacing w:after="0" w:line="209"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Company receives cash from the exercise of employee stock options. During the three months ended March 31, 1995, stock options and their related tax benefits provided $29.5 million of cash compared with $9.7 million for the period last year. Proceeds from the exercise of stock options and their related tax benefits will vary from period to period based upon fluctuations in the market value of the Company's stock relative to the exercise price of such options, among other factors.</w:t>
      </w:r>
    </w:p>
    <w:p>
      <w:pPr>
        <w:spacing w:after="0" w:line="212"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Company has a common stock repurchase program to offset the dilutive effect of its employee benefit stock option and stock purchase plans. Since its inception in 1992 through March 31, 1995, the Company has repurchased $669.0 million of its common stock and is authorized to purchase up to an additional $256.0 million through December 31, 1995. During the three months ended March 31, 1995, the Company purchased 1.2 million shares of common stock at a cost of $75.2 million compared with 1.8 million shares purchased at a cost of $75.1 million during the same period last year.</w:t>
      </w:r>
    </w:p>
    <w:p>
      <w:pPr>
        <w:spacing w:after="0" w:line="214" w:lineRule="exact"/>
        <w:rPr>
          <w:sz w:val="20"/>
          <w:szCs w:val="20"/>
          <w:color w:val="auto"/>
        </w:rPr>
      </w:pPr>
    </w:p>
    <w:p>
      <w:pPr>
        <w:ind w:right="2739" w:firstLine="527"/>
        <w:spacing w:after="0" w:line="238" w:lineRule="auto"/>
        <w:rPr>
          <w:sz w:val="20"/>
          <w:szCs w:val="20"/>
          <w:color w:val="auto"/>
        </w:rPr>
      </w:pPr>
      <w:r>
        <w:rPr>
          <w:rFonts w:ascii="Courier New" w:cs="Courier New" w:eastAsia="Courier New" w:hAnsi="Courier New"/>
          <w:sz w:val="18"/>
          <w:szCs w:val="18"/>
          <w:color w:val="auto"/>
        </w:rPr>
        <w:t>To provide for financial flexibility and increased liquidity, the Company has established several sources of debt financing. The Company has filed a shelf registration statement with the Securities and Exchange Commission under which it could issue up to $200.0 million of Medium Term Notes. At March 31, 1995, $113.0 million of Medium Term Notes were outstanding which mature in two to eight years. The Company has a commercial paper program which provides for short-term borrowings up to an aggregate face amount of $200.0 million. At March 31, 1995, $99.3 million of commercial paper was outstanding, all with maturities of less than three months. The Company also has a $150.0 million revolving line of credit, principally to support the Company's commercial paper program. No borrowings on this line of credit were outstanding at March 31, 1995.</w:t>
      </w:r>
    </w:p>
    <w:p>
      <w:pPr>
        <w:spacing w:after="0" w:line="207" w:lineRule="exact"/>
        <w:rPr>
          <w:sz w:val="20"/>
          <w:szCs w:val="20"/>
          <w:color w:val="auto"/>
        </w:rPr>
      </w:pPr>
    </w:p>
    <w:p>
      <w:pPr>
        <w:jc w:val="both"/>
        <w:ind w:right="2939" w:firstLine="527"/>
        <w:spacing w:after="0" w:line="236" w:lineRule="auto"/>
        <w:rPr>
          <w:sz w:val="20"/>
          <w:szCs w:val="20"/>
          <w:color w:val="auto"/>
        </w:rPr>
      </w:pPr>
      <w:r>
        <w:rPr>
          <w:rFonts w:ascii="Courier New" w:cs="Courier New" w:eastAsia="Courier New" w:hAnsi="Courier New"/>
          <w:sz w:val="18"/>
          <w:szCs w:val="18"/>
          <w:color w:val="auto"/>
        </w:rPr>
        <w:t>The Company invests its cash in accordance with a policy that seeks to maximize returns while ensuring both liquidity and minimal risk of principal loss. The policy limits investments to certain</w:t>
      </w:r>
    </w:p>
    <w:p>
      <w:pPr>
        <w:sectPr>
          <w:pgSz w:w="11900" w:h="16838" w:orient="portrait"/>
          <w:cols w:equalWidth="0" w:num="1">
            <w:col w:w="10219"/>
          </w:cols>
          <w:pgMar w:left="240" w:top="520" w:right="1440" w:bottom="1440" w:gutter="0" w:footer="0" w:header="0"/>
        </w:sectPr>
      </w:pPr>
    </w:p>
    <w:bookmarkStart w:id="13" w:name="page14"/>
    <w:bookmarkEnd w:id="13"/>
    <w:p>
      <w:pPr>
        <w:jc w:val="both"/>
        <w:ind w:right="2939"/>
        <w:spacing w:after="0" w:line="235" w:lineRule="auto"/>
        <w:rPr>
          <w:sz w:val="20"/>
          <w:szCs w:val="20"/>
          <w:color w:val="auto"/>
        </w:rPr>
      </w:pPr>
      <w:r>
        <w:rPr>
          <w:rFonts w:ascii="Courier New" w:cs="Courier New" w:eastAsia="Courier New" w:hAnsi="Courier New"/>
          <w:sz w:val="18"/>
          <w:szCs w:val="18"/>
          <w:color w:val="auto"/>
        </w:rPr>
        <w:t>types of instruments issued by institutions with investment grade credit ratings, and places restrictions on maturities and</w:t>
      </w:r>
    </w:p>
    <w:p>
      <w:pPr>
        <w:spacing w:after="0" w:line="6" w:lineRule="exact"/>
        <w:rPr>
          <w:sz w:val="20"/>
          <w:szCs w:val="20"/>
          <w:color w:val="auto"/>
        </w:rPr>
      </w:pPr>
    </w:p>
    <w:p>
      <w:pPr>
        <w:jc w:val="both"/>
        <w:ind w:right="2939"/>
        <w:spacing w:after="0" w:line="237" w:lineRule="auto"/>
        <w:rPr>
          <w:sz w:val="20"/>
          <w:szCs w:val="20"/>
          <w:color w:val="auto"/>
        </w:rPr>
      </w:pPr>
      <w:r>
        <w:rPr>
          <w:rFonts w:ascii="Courier New" w:cs="Courier New" w:eastAsia="Courier New" w:hAnsi="Courier New"/>
          <w:sz w:val="18"/>
          <w:szCs w:val="18"/>
          <w:color w:val="auto"/>
        </w:rPr>
        <w:t>concentration by type and issuer. The Company's fixed income investments are subject to the risk of market interest rate fluctuations, and all of the Company's investments are subject to risks associated with the ability of the issuers to perform their obligations under the instruments.</w:t>
      </w:r>
    </w:p>
    <w:p>
      <w:pPr>
        <w:spacing w:after="0" w:line="209"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Company has a program to manage certain portions of its exposure to fluctuations in foreign currency exchange rates. These exposures primarily result from European sales. The Company hedges the related receivables with foreign currency forward contracts, all of which mature within six months. The Company uses foreign currency option and forward contracts which generally expire within 12 months to hedge certain anticipated future cash flows related to these sales. At March 31, 1995, outstanding option and forward contracts totaled $24.4 million and $73.0 million, respectively.</w:t>
      </w:r>
    </w:p>
    <w:p>
      <w:pPr>
        <w:spacing w:after="0" w:line="214"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Company believes that existing funds, cash generated from operations, and existing sources of debt financing will be adequate to satisfy its working capital and capital expenditure requirements and to support its common stock repurchase program for the</w:t>
      </w:r>
    </w:p>
    <w:p>
      <w:pPr>
        <w:spacing w:after="0" w:line="5" w:lineRule="exact"/>
        <w:rPr>
          <w:sz w:val="20"/>
          <w:szCs w:val="20"/>
          <w:color w:val="auto"/>
        </w:rPr>
      </w:pPr>
    </w:p>
    <w:p>
      <w:pPr>
        <w:jc w:val="both"/>
        <w:ind w:right="2939"/>
        <w:spacing w:after="0" w:line="237" w:lineRule="auto"/>
        <w:rPr>
          <w:sz w:val="20"/>
          <w:szCs w:val="20"/>
          <w:color w:val="auto"/>
        </w:rPr>
      </w:pPr>
      <w:r>
        <w:rPr>
          <w:rFonts w:ascii="Courier New" w:cs="Courier New" w:eastAsia="Courier New" w:hAnsi="Courier New"/>
          <w:sz w:val="18"/>
          <w:szCs w:val="18"/>
          <w:color w:val="auto"/>
        </w:rPr>
        <w:t>foreseeable future. However, the Company may raise additional capital from time to time to take advantage of favorable conditions in the markets or in connection with the Company's corporate development activities.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sales</w:t>
      </w:r>
    </w:p>
    <w:p>
      <w:pPr>
        <w:spacing w:after="0" w:line="207" w:lineRule="exact"/>
        <w:rPr>
          <w:sz w:val="20"/>
          <w:szCs w:val="20"/>
          <w:color w:val="auto"/>
        </w:rPr>
      </w:pPr>
    </w:p>
    <w:p>
      <w:pPr>
        <w:jc w:val="both"/>
        <w:ind w:right="2939" w:firstLine="527"/>
        <w:spacing w:after="0" w:line="290" w:lineRule="auto"/>
        <w:rPr>
          <w:sz w:val="20"/>
          <w:szCs w:val="20"/>
          <w:color w:val="auto"/>
        </w:rPr>
      </w:pPr>
      <w:r>
        <w:rPr>
          <w:rFonts w:ascii="Courier New" w:cs="Courier New" w:eastAsia="Courier New" w:hAnsi="Courier New"/>
          <w:sz w:val="16"/>
          <w:szCs w:val="16"/>
          <w:color w:val="auto"/>
        </w:rPr>
        <w:t>Product sales increased $65.5 million or 19% for the three months ended March 31, 1995, compared with the same period last year.</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NEUPOGEN(R) (Filgrastim)</w:t>
      </w:r>
    </w:p>
    <w:p>
      <w:pPr>
        <w:spacing w:after="0" w:line="207" w:lineRule="exact"/>
        <w:rPr>
          <w:sz w:val="20"/>
          <w:szCs w:val="20"/>
          <w:color w:val="auto"/>
        </w:rPr>
      </w:pPr>
    </w:p>
    <w:p>
      <w:pPr>
        <w:jc w:val="both"/>
        <w:ind w:right="2939" w:firstLine="527"/>
        <w:spacing w:after="0" w:line="236" w:lineRule="auto"/>
        <w:rPr>
          <w:sz w:val="20"/>
          <w:szCs w:val="20"/>
          <w:color w:val="auto"/>
        </w:rPr>
      </w:pPr>
      <w:r>
        <w:rPr>
          <w:rFonts w:ascii="Courier New" w:cs="Courier New" w:eastAsia="Courier New" w:hAnsi="Courier New"/>
          <w:sz w:val="18"/>
          <w:szCs w:val="18"/>
          <w:color w:val="auto"/>
        </w:rPr>
        <w:t>NEUPOGEN(R) sales were $212.4 million for the three months ended March 31, 1995, an increase of $30.7 million or 17% over the same period last year.</w:t>
      </w:r>
    </w:p>
    <w:p>
      <w:pPr>
        <w:spacing w:after="0" w:line="209" w:lineRule="exact"/>
        <w:rPr>
          <w:sz w:val="20"/>
          <w:szCs w:val="20"/>
          <w:color w:val="auto"/>
        </w:rPr>
      </w:pPr>
    </w:p>
    <w:p>
      <w:pPr>
        <w:jc w:val="both"/>
        <w:ind w:right="2939" w:firstLine="527"/>
        <w:spacing w:after="0" w:line="268" w:lineRule="auto"/>
        <w:rPr>
          <w:sz w:val="20"/>
          <w:szCs w:val="20"/>
          <w:color w:val="auto"/>
        </w:rPr>
      </w:pPr>
      <w:r>
        <w:rPr>
          <w:rFonts w:ascii="Courier New" w:cs="Courier New" w:eastAsia="Courier New" w:hAnsi="Courier New"/>
          <w:sz w:val="16"/>
          <w:szCs w:val="16"/>
          <w:color w:val="auto"/>
        </w:rPr>
        <w:t>Domestic sales of NEUPOGEN(R) were $147.3 million for the three months ended March 31, 1995, an increase of $15.3 million or 12% over</w:t>
      </w:r>
    </w:p>
    <w:p>
      <w:pPr>
        <w:jc w:val="both"/>
        <w:ind w:right="2939"/>
        <w:spacing w:after="0" w:line="235" w:lineRule="auto"/>
        <w:rPr>
          <w:sz w:val="20"/>
          <w:szCs w:val="20"/>
          <w:color w:val="auto"/>
        </w:rPr>
      </w:pPr>
      <w:r>
        <w:rPr>
          <w:rFonts w:ascii="Courier New" w:cs="Courier New" w:eastAsia="Courier New" w:hAnsi="Courier New"/>
          <w:sz w:val="18"/>
          <w:szCs w:val="18"/>
          <w:color w:val="auto"/>
        </w:rPr>
        <w:t>the same period last year. This increase is primarily due to increased penetration of the market for colony-stimulating factors.</w:t>
      </w:r>
    </w:p>
    <w:p>
      <w:pPr>
        <w:spacing w:after="0" w:line="208"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Quarterly NEUPOGEN(R) sales volume in the United States is influenced by a number of factors including underlying demand, seasonality of cancer chemotherapy administration and wholesaler inventory management practices. Wholesaler inventory reductions tend to reduce NEUPOGEN(R) sales in the first quarter.</w:t>
      </w:r>
    </w:p>
    <w:p>
      <w:pPr>
        <w:spacing w:after="0" w:line="209" w:lineRule="exact"/>
        <w:rPr>
          <w:sz w:val="20"/>
          <w:szCs w:val="20"/>
          <w:color w:val="auto"/>
        </w:rPr>
      </w:pPr>
    </w:p>
    <w:p>
      <w:pPr>
        <w:jc w:val="both"/>
        <w:ind w:right="2939" w:firstLine="527"/>
        <w:spacing w:after="0" w:line="268" w:lineRule="auto"/>
        <w:rPr>
          <w:sz w:val="20"/>
          <w:szCs w:val="20"/>
          <w:color w:val="auto"/>
        </w:rPr>
      </w:pPr>
      <w:r>
        <w:rPr>
          <w:rFonts w:ascii="Courier New" w:cs="Courier New" w:eastAsia="Courier New" w:hAnsi="Courier New"/>
          <w:sz w:val="16"/>
          <w:szCs w:val="16"/>
          <w:color w:val="auto"/>
        </w:rPr>
        <w:t>International sales of NEUPOGEN(R), primarily in Europe, were $65.0 million for the three months ended March 31, 1995, an increase</w:t>
      </w:r>
    </w:p>
    <w:p>
      <w:pPr>
        <w:jc w:val="both"/>
        <w:ind w:right="2939"/>
        <w:spacing w:after="0" w:line="290" w:lineRule="auto"/>
        <w:rPr>
          <w:sz w:val="20"/>
          <w:szCs w:val="20"/>
          <w:color w:val="auto"/>
        </w:rPr>
      </w:pPr>
      <w:r>
        <w:rPr>
          <w:rFonts w:ascii="Courier New" w:cs="Courier New" w:eastAsia="Courier New" w:hAnsi="Courier New"/>
          <w:sz w:val="16"/>
          <w:szCs w:val="16"/>
          <w:color w:val="auto"/>
        </w:rPr>
        <w:t>of $15.4 million or 31% over the same period last year. Three factors, each contributing approximately one third of reported sales</w:t>
      </w:r>
    </w:p>
    <w:p>
      <w:pPr>
        <w:sectPr>
          <w:pgSz w:w="11900" w:h="16838" w:orient="portrait"/>
          <w:cols w:equalWidth="0" w:num="1">
            <w:col w:w="10219"/>
          </w:cols>
          <w:pgMar w:left="240" w:top="520" w:right="1440" w:bottom="1440" w:gutter="0" w:footer="0" w:header="0"/>
        </w:sectPr>
      </w:pPr>
    </w:p>
    <w:bookmarkStart w:id="14" w:name="page15"/>
    <w:bookmarkEnd w:id="14"/>
    <w:p>
      <w:pPr>
        <w:jc w:val="both"/>
        <w:ind w:right="2939"/>
        <w:spacing w:after="0" w:line="271" w:lineRule="auto"/>
        <w:rPr>
          <w:sz w:val="20"/>
          <w:szCs w:val="20"/>
          <w:color w:val="auto"/>
        </w:rPr>
      </w:pPr>
      <w:r>
        <w:rPr>
          <w:rFonts w:ascii="Courier New" w:cs="Courier New" w:eastAsia="Courier New" w:hAnsi="Courier New"/>
          <w:sz w:val="16"/>
          <w:szCs w:val="16"/>
          <w:color w:val="auto"/>
        </w:rPr>
        <w:t>growth, account for this increase: increased market penetration, the favorable effects of strengthened foreign currencies, and Austria, Sweden, and Finland joining the European Union ("EU"). Prior to the entry of Austria, Sweden, and Finland into the EU on January 1, 1995, F. Hoffmann La Roche, Amgen's licensee, paid the Company royalties on sales in these countries. The Company's overall share of the colony-stimulating factor market in the EU has decreased slightly following the introduction of a competing G-CSF product by Rhone Poulenc Rorer and Chugai Pharmaceutical Co., Ltd. in 1994.</w:t>
      </w:r>
    </w:p>
    <w:p>
      <w:pPr>
        <w:spacing w:after="0" w:line="184" w:lineRule="exact"/>
        <w:rPr>
          <w:sz w:val="20"/>
          <w:szCs w:val="20"/>
          <w:color w:val="auto"/>
        </w:rPr>
      </w:pPr>
    </w:p>
    <w:p>
      <w:pPr>
        <w:jc w:val="both"/>
        <w:ind w:right="2939" w:firstLine="527"/>
        <w:spacing w:after="0" w:line="271" w:lineRule="auto"/>
        <w:rPr>
          <w:sz w:val="20"/>
          <w:szCs w:val="20"/>
          <w:color w:val="auto"/>
        </w:rPr>
      </w:pPr>
      <w:r>
        <w:rPr>
          <w:rFonts w:ascii="Courier New" w:cs="Courier New" w:eastAsia="Courier New" w:hAnsi="Courier New"/>
          <w:sz w:val="16"/>
          <w:szCs w:val="16"/>
          <w:color w:val="auto"/>
        </w:rPr>
        <w:t>The Company believes that 1995 worldwide NEUPOGEN(R) sales will continue to grow at a double digit rate but lower than the 1994 growth rate. NEUPOGEN(R) sales increases are primarily dependent upon further penetration of existing markets, the timing and nature of additional indications for which the product may be approved, and the effects of competitive products. In addition, international NEUPOGEN(R) sales will continue to be subject to changes in foreign currency exchange rates and increased competition.</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EPOGEN(R) (Epoetin alfa)</w:t>
      </w:r>
    </w:p>
    <w:p>
      <w:pPr>
        <w:spacing w:after="0" w:line="207" w:lineRule="exact"/>
        <w:rPr>
          <w:sz w:val="20"/>
          <w:szCs w:val="20"/>
          <w:color w:val="auto"/>
        </w:rPr>
      </w:pPr>
    </w:p>
    <w:p>
      <w:pPr>
        <w:jc w:val="both"/>
        <w:ind w:right="2939" w:firstLine="527"/>
        <w:spacing w:after="0" w:line="238" w:lineRule="auto"/>
        <w:rPr>
          <w:sz w:val="20"/>
          <w:szCs w:val="20"/>
          <w:color w:val="auto"/>
        </w:rPr>
      </w:pPr>
      <w:r>
        <w:rPr>
          <w:rFonts w:ascii="Courier New" w:cs="Courier New" w:eastAsia="Courier New" w:hAnsi="Courier New"/>
          <w:sz w:val="18"/>
          <w:szCs w:val="18"/>
          <w:color w:val="auto"/>
        </w:rPr>
        <w:t>EPOGEN(R) sales were $198.9 million for the three months ended March 31, 1995, an increase of $34.8 million or 21% over the same period last year. This increase is primarily due to an increase in the U.S. dialysis patient population, the administration of higher doses of EPOGEN(R) per patient, and increased penetration of the dialysis market. The Company anticipates that increases in the U.S. dialysis patient population and increases in dosing will continue to drive EPOGEN(R) sales. The annual growth rate for 1995 is expected to be in double digits but lower than the 1994 growth rate. In addition, the continued growth in sales volume may be affected by future changes in reimbursement rates or the basis for reimbursement by the federal government.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 of sales</w:t>
      </w:r>
    </w:p>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Cost of sales as a percentage of product sales was 16.2% and 15.4% for the three months ended March 31, 1995 and 1994, respectively. The increase in cost of sales as a percentage of product sales is primarily the result of current year period sales of inventory with higher unit costs which were manufactured in smaller production runs at the Company's Puerto Rico fill-and-finish facility. Cost of sales as a percentage of product sales is expected to slightly decline in the second half of the current year when lower unit cost inventories are sold.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jc w:val="both"/>
        <w:ind w:right="2939" w:firstLine="527"/>
        <w:spacing w:after="0" w:line="272" w:lineRule="auto"/>
        <w:rPr>
          <w:sz w:val="20"/>
          <w:szCs w:val="20"/>
          <w:color w:val="auto"/>
        </w:rPr>
      </w:pPr>
      <w:r>
        <w:rPr>
          <w:rFonts w:ascii="Courier New" w:cs="Courier New" w:eastAsia="Courier New" w:hAnsi="Courier New"/>
          <w:sz w:val="16"/>
          <w:szCs w:val="16"/>
          <w:color w:val="auto"/>
        </w:rPr>
        <w:t>During the three months ended March 31, 1995, research and development expenses increased $40.2 million or 54% compared with the same period last year. This increase is primarily due to a $20 million signing payment due The Rockefeller University for an exclusive license to certain technologies and an expansion of the Company's internal research and development staff, partially as a result of the acquisition of Synergen, Inc. ("Synergen"). Annual research and development expenses are expected to increase at a rate</w:t>
      </w:r>
    </w:p>
    <w:p>
      <w:pPr>
        <w:sectPr>
          <w:pgSz w:w="11900" w:h="16838" w:orient="portrait"/>
          <w:cols w:equalWidth="0" w:num="1">
            <w:col w:w="10219"/>
          </w:cols>
          <w:pgMar w:left="240" w:top="520" w:right="1440" w:bottom="1440" w:gutter="0" w:footer="0" w:header="0"/>
        </w:sectPr>
      </w:pPr>
    </w:p>
    <w:bookmarkStart w:id="15" w:name="page16"/>
    <w:bookmarkEnd w:id="15"/>
    <w:p>
      <w:pPr>
        <w:jc w:val="both"/>
        <w:ind w:right="2939"/>
        <w:spacing w:after="0" w:line="237" w:lineRule="auto"/>
        <w:rPr>
          <w:sz w:val="20"/>
          <w:szCs w:val="20"/>
          <w:color w:val="auto"/>
        </w:rPr>
      </w:pPr>
      <w:r>
        <w:rPr>
          <w:rFonts w:ascii="Courier New" w:cs="Courier New" w:eastAsia="Courier New" w:hAnsi="Courier New"/>
          <w:sz w:val="18"/>
          <w:szCs w:val="18"/>
          <w:color w:val="auto"/>
        </w:rPr>
        <w:t>exceeding the anticipated annual product sales growth rate due to planned increases in internal efforts on new product discovery and development and increases in external research collaboration costs, including acquisitions of product and technology rights.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 and selling</w:t>
      </w:r>
    </w:p>
    <w:p>
      <w:pPr>
        <w:spacing w:after="0" w:line="207" w:lineRule="exact"/>
        <w:rPr>
          <w:sz w:val="20"/>
          <w:szCs w:val="20"/>
          <w:color w:val="auto"/>
        </w:rPr>
      </w:pPr>
    </w:p>
    <w:p>
      <w:pPr>
        <w:jc w:val="both"/>
        <w:ind w:right="2939" w:firstLine="527"/>
        <w:spacing w:after="0" w:line="271" w:lineRule="auto"/>
        <w:rPr>
          <w:sz w:val="20"/>
          <w:szCs w:val="20"/>
          <w:color w:val="auto"/>
        </w:rPr>
      </w:pPr>
      <w:r>
        <w:rPr>
          <w:rFonts w:ascii="Courier New" w:cs="Courier New" w:eastAsia="Courier New" w:hAnsi="Courier New"/>
          <w:sz w:val="16"/>
          <w:szCs w:val="16"/>
          <w:color w:val="auto"/>
        </w:rPr>
        <w:t>Marketing and selling expenses increased $5.6 million or 11% during the three months ended March 31, 1995 compared with the same period last year. This increase primarily reflects marketing efforts to improve NEUPOGEN(R) market penetration and EPOGEN(R) marketing efforts to bring more patients within the target hematocrit range. The future growth rate of marketing and selling expenses is expected to be lower than the anticipated annual product sales growth rate.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and administrative</w:t>
      </w:r>
    </w:p>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General and administrative expenses increased $6.3 million or 22% during the three months ended March 31, 1995 compared with the same period last year. This increase is primarily due to higher legal and staff-related expenses. The future growth rate of general and administrative expenses is expected to be less than the anticipated annual product sales growth rate.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and other income</w:t>
      </w:r>
    </w:p>
    <w:p>
      <w:pPr>
        <w:spacing w:after="0" w:line="207" w:lineRule="exact"/>
        <w:rPr>
          <w:sz w:val="20"/>
          <w:szCs w:val="20"/>
          <w:color w:val="auto"/>
        </w:rPr>
      </w:pPr>
    </w:p>
    <w:p>
      <w:pPr>
        <w:jc w:val="both"/>
        <w:ind w:right="2939" w:firstLine="527"/>
        <w:spacing w:after="0" w:line="271" w:lineRule="auto"/>
        <w:rPr>
          <w:sz w:val="20"/>
          <w:szCs w:val="20"/>
          <w:color w:val="auto"/>
        </w:rPr>
      </w:pPr>
      <w:r>
        <w:rPr>
          <w:rFonts w:ascii="Courier New" w:cs="Courier New" w:eastAsia="Courier New" w:hAnsi="Courier New"/>
          <w:sz w:val="16"/>
          <w:szCs w:val="16"/>
          <w:color w:val="auto"/>
        </w:rPr>
        <w:t>Interest and other income increased $7.4 million or 134% during the three months ended March 31, 1995 compared with the same period last year. This increase is primarily due to capital losses incurred in the Company's investment portfolio during the first quarter of 1994 but not in the current year period. These capital losses resulted from the sale of certain fixed income investments which had declined in market value because of the increase in interest rates.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jc w:val="both"/>
        <w:ind w:right="2939" w:firstLine="527"/>
        <w:spacing w:after="0" w:line="268" w:lineRule="auto"/>
        <w:rPr>
          <w:sz w:val="20"/>
          <w:szCs w:val="20"/>
          <w:color w:val="auto"/>
        </w:rPr>
      </w:pPr>
      <w:r>
        <w:rPr>
          <w:rFonts w:ascii="Courier New" w:cs="Courier New" w:eastAsia="Courier New" w:hAnsi="Courier New"/>
          <w:sz w:val="16"/>
          <w:szCs w:val="16"/>
          <w:color w:val="auto"/>
        </w:rPr>
        <w:t>The Company's effective tax rate for the three months ended March 31, 1995 was 32.9% compared with 38.2% for the same period last year. The decrease in the tax rate is due to tax benefits from the sale of products manufactured in the Puerto Rico fill-and-finish</w:t>
      </w:r>
    </w:p>
    <w:p>
      <w:pPr>
        <w:spacing w:after="0" w:line="1" w:lineRule="exact"/>
        <w:rPr>
          <w:sz w:val="20"/>
          <w:szCs w:val="20"/>
          <w:color w:val="auto"/>
        </w:rPr>
      </w:pPr>
    </w:p>
    <w:p>
      <w:pPr>
        <w:jc w:val="both"/>
        <w:ind w:right="2939"/>
        <w:spacing w:after="0" w:line="236" w:lineRule="auto"/>
        <w:rPr>
          <w:sz w:val="20"/>
          <w:szCs w:val="20"/>
          <w:color w:val="auto"/>
        </w:rPr>
      </w:pPr>
      <w:r>
        <w:rPr>
          <w:rFonts w:ascii="Courier New" w:cs="Courier New" w:eastAsia="Courier New" w:hAnsi="Courier New"/>
          <w:sz w:val="18"/>
          <w:szCs w:val="18"/>
          <w:color w:val="auto"/>
        </w:rPr>
        <w:t>facility which began in the first quarter of 1995. These tax benefits are expected to result in an annualized effective tax rate of 32%-34%.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Company is engaged in arbitration proceedings with one of its licensees and various legal proceedings relating to Synergen. For a discussion of these matters see Note 4 to the Condensed Consolidated Financial Statements.</w:t>
      </w:r>
    </w:p>
    <w:p>
      <w:pPr>
        <w:sectPr>
          <w:pgSz w:w="11900" w:h="16838" w:orient="portrait"/>
          <w:cols w:equalWidth="0" w:num="1">
            <w:col w:w="10219"/>
          </w:cols>
          <w:pgMar w:left="240" w:top="520" w:right="1440" w:bottom="1440" w:gutter="0" w:footer="0" w:header="0"/>
        </w:sectPr>
      </w:pPr>
    </w:p>
    <w:bookmarkStart w:id="16" w:name="page17"/>
    <w:bookmarkEnd w:id="16"/>
    <w:p>
      <w:pPr>
        <w:ind w:left="2220"/>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Company is engaged in arbitration proceedings with one of its licensees. For a complete discussion of this matter see Note 4 to the Consolidated Financial Statements - "Johnson &amp; Johnson arbitration". Other legal proceedings are discussed below. While it is not possible to predict accurately or to determine the eventual outcome of these matters, the Company believes that the outcome of these legal proceedings will not have a material adverse effect on the financial statements of the Company.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Synergen litigation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Acquisition litigation</w:t>
      </w:r>
    </w:p>
    <w:p>
      <w:pPr>
        <w:spacing w:after="0" w:line="207" w:lineRule="exact"/>
        <w:rPr>
          <w:sz w:val="20"/>
          <w:szCs w:val="20"/>
          <w:color w:val="auto"/>
        </w:rPr>
      </w:pPr>
    </w:p>
    <w:p>
      <w:pPr>
        <w:jc w:val="both"/>
        <w:ind w:right="2939" w:firstLine="527"/>
        <w:spacing w:after="0" w:line="268" w:lineRule="auto"/>
        <w:rPr>
          <w:sz w:val="20"/>
          <w:szCs w:val="20"/>
          <w:color w:val="auto"/>
        </w:rPr>
      </w:pPr>
      <w:r>
        <w:rPr>
          <w:rFonts w:ascii="Courier New" w:cs="Courier New" w:eastAsia="Courier New" w:hAnsi="Courier New"/>
          <w:sz w:val="16"/>
          <w:szCs w:val="16"/>
          <w:color w:val="auto"/>
        </w:rPr>
        <w:t>The Company and its wholly-owned subsidiary, Amgen Boulder Inc. (formerly Synergen, Inc.) have been named as defendants in several lawsuits filed in connection with the Company's December 1994</w:t>
      </w:r>
    </w:p>
    <w:p>
      <w:pPr>
        <w:spacing w:after="0" w:line="1" w:lineRule="exact"/>
        <w:rPr>
          <w:sz w:val="20"/>
          <w:szCs w:val="20"/>
          <w:color w:val="auto"/>
        </w:rPr>
      </w:pPr>
    </w:p>
    <w:p>
      <w:pPr>
        <w:jc w:val="both"/>
        <w:ind w:right="2939"/>
        <w:spacing w:after="0" w:line="269" w:lineRule="auto"/>
        <w:rPr>
          <w:sz w:val="20"/>
          <w:szCs w:val="20"/>
          <w:color w:val="auto"/>
        </w:rPr>
      </w:pPr>
      <w:r>
        <w:rPr>
          <w:rFonts w:ascii="Courier New" w:cs="Courier New" w:eastAsia="Courier New" w:hAnsi="Courier New"/>
          <w:sz w:val="16"/>
          <w:szCs w:val="16"/>
          <w:color w:val="auto"/>
        </w:rPr>
        <w:t>acquisition of Synergen (the "Acquisition"). One suit, Stanley, et al. v. Soll, et al., was filed on November 18, 1994 by two stockholders in the Court of Chancery of the State of Delaware in New Castle County against Synergen and certain of its former officers and directors. Plaintiffs, who seek to represent a class of stockholders of Synergen common stock, allege that the defendants breached their fiduciary duties by failing to maximize stockholder value. Plaintiffs seek an unspecified amount of compensatory damages, an order rescinding the Acquisition, and related equitable relief. Other stockholders seeking the same relief filed suits on November 23 and 29, 1994 and February 28, 1995 in United States District Court, County of Boulder, State of Colorado. In Livergood v. Synergen, Inc., et al., Weld, et al. v. Amgen Inc., et al., and Reineke v. Synergen, Inc., et al., the plaintiffs allege that defendants Synergen, Amgen and certain of Synergen's former officers and directors breached their fiduciary duties and defrauded the plaintiffs by omitting to disclose allegedly material information concerning Synergen's future prospects. Plaintiffs in these cases seek to represent a class of stockholders of Synergen common stock. On March 8, 1995, the Livergood and Weld actions were consolidated, and the plaintiff in the Reineke case also seeks consolidation. Another suit, Glick v. Synergen, Inc., et al., was filed in the Superior Court of the State of California, County of Los Angeles, as a class action on January 24, 1995 by plaintiffs who seek to represent all warrant holders of Synergen who claim to have been deprived of the benefit of their warrants. Plaintiffs seek general damages in the sum of $34.3 million against Synergen, Amgen and former officers and directors of Synergen based on allegations of conspiracy, breach of duty, self-dealing, interference with prospective business advantage and unjust enrichment. On April 18, 1995, this suit was dismissed with leave to amend.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ANTRIL(TM) litigation</w:t>
      </w:r>
    </w:p>
    <w:p>
      <w:pPr>
        <w:spacing w:after="0" w:line="207" w:lineRule="exact"/>
        <w:rPr>
          <w:sz w:val="20"/>
          <w:szCs w:val="20"/>
          <w:color w:val="auto"/>
        </w:rPr>
      </w:pPr>
    </w:p>
    <w:p>
      <w:pPr>
        <w:jc w:val="both"/>
        <w:ind w:right="2939" w:firstLine="527"/>
        <w:spacing w:after="0" w:line="290" w:lineRule="auto"/>
        <w:rPr>
          <w:sz w:val="20"/>
          <w:szCs w:val="20"/>
          <w:color w:val="auto"/>
        </w:rPr>
      </w:pPr>
      <w:r>
        <w:rPr>
          <w:rFonts w:ascii="Courier New" w:cs="Courier New" w:eastAsia="Courier New" w:hAnsi="Courier New"/>
          <w:sz w:val="16"/>
          <w:szCs w:val="16"/>
          <w:color w:val="auto"/>
        </w:rPr>
        <w:t>Several lawsuits have been filed against Synergen alleging misrepresentations in connection with its research and development of</w:t>
      </w:r>
    </w:p>
    <w:p>
      <w:pPr>
        <w:sectPr>
          <w:pgSz w:w="11900" w:h="16838" w:orient="portrait"/>
          <w:cols w:equalWidth="0" w:num="1">
            <w:col w:w="10219"/>
          </w:cols>
          <w:pgMar w:left="240" w:top="514" w:right="1440" w:bottom="1440" w:gutter="0" w:footer="0" w:header="0"/>
        </w:sectPr>
      </w:pPr>
    </w:p>
    <w:bookmarkStart w:id="17" w:name="page18"/>
    <w:bookmarkEnd w:id="17"/>
    <w:p>
      <w:pPr>
        <w:jc w:val="both"/>
        <w:ind w:right="2939"/>
        <w:spacing w:after="0" w:line="268" w:lineRule="auto"/>
        <w:rPr>
          <w:sz w:val="20"/>
          <w:szCs w:val="20"/>
          <w:color w:val="auto"/>
        </w:rPr>
      </w:pPr>
      <w:r>
        <w:rPr>
          <w:rFonts w:ascii="Courier New" w:cs="Courier New" w:eastAsia="Courier New" w:hAnsi="Courier New"/>
          <w:sz w:val="16"/>
          <w:szCs w:val="16"/>
          <w:color w:val="auto"/>
        </w:rPr>
        <w:t>ANTRIL(TM) for the treatment of sepsis. In Temple, et al. v. Synergen, Inc., et al., three stockholders filed suit on November 15, 1994 in the District Court for the City and County of Denver, State of Colorado, against Synergen and a former director and executive officer, alleging violations of state securities law, fraud and</w:t>
      </w:r>
    </w:p>
    <w:p>
      <w:pPr>
        <w:spacing w:after="0" w:line="234" w:lineRule="auto"/>
        <w:tabs>
          <w:tab w:leader="none" w:pos="2300" w:val="left"/>
          <w:tab w:leader="none" w:pos="3560" w:val="left"/>
          <w:tab w:leader="none" w:pos="4300" w:val="left"/>
          <w:tab w:leader="none" w:pos="4720" w:val="left"/>
          <w:tab w:leader="none" w:pos="6100" w:val="left"/>
          <w:tab w:leader="none" w:pos="7040" w:val="left"/>
        </w:tabs>
        <w:rPr>
          <w:sz w:val="20"/>
          <w:szCs w:val="20"/>
          <w:color w:val="auto"/>
        </w:rPr>
      </w:pPr>
      <w:r>
        <w:rPr>
          <w:rFonts w:ascii="Courier New" w:cs="Courier New" w:eastAsia="Courier New" w:hAnsi="Courier New"/>
          <w:sz w:val="18"/>
          <w:szCs w:val="18"/>
          <w:color w:val="auto"/>
        </w:rPr>
        <w:t>misrepresentation.</w:t>
      </w:r>
      <w:r>
        <w:rPr>
          <w:sz w:val="20"/>
          <w:szCs w:val="20"/>
          <w:color w:val="auto"/>
        </w:rPr>
        <w:tab/>
      </w:r>
      <w:r>
        <w:rPr>
          <w:rFonts w:ascii="Courier New" w:cs="Courier New" w:eastAsia="Courier New" w:hAnsi="Courier New"/>
          <w:sz w:val="18"/>
          <w:szCs w:val="18"/>
          <w:color w:val="auto"/>
        </w:rPr>
        <w:t>Plaintiffs</w:t>
        <w:tab/>
        <w:t>seek</w:t>
        <w:tab/>
        <w:t>an</w:t>
        <w:tab/>
        <w:t>unspecified</w:t>
        <w:tab/>
        <w:t>amount</w:t>
      </w:r>
      <w:r>
        <w:rPr>
          <w:sz w:val="20"/>
          <w:szCs w:val="20"/>
          <w:color w:val="auto"/>
        </w:rPr>
        <w:tab/>
      </w:r>
      <w:r>
        <w:rPr>
          <w:rFonts w:ascii="Courier New" w:cs="Courier New" w:eastAsia="Courier New" w:hAnsi="Courier New"/>
          <w:sz w:val="18"/>
          <w:szCs w:val="18"/>
          <w:color w:val="auto"/>
        </w:rPr>
        <w:t>of</w:t>
      </w:r>
    </w:p>
    <w:p>
      <w:pPr>
        <w:spacing w:after="0" w:line="5" w:lineRule="exact"/>
        <w:rPr>
          <w:sz w:val="20"/>
          <w:szCs w:val="20"/>
          <w:color w:val="auto"/>
        </w:rPr>
      </w:pPr>
    </w:p>
    <w:p>
      <w:pPr>
        <w:ind w:right="2939"/>
        <w:spacing w:after="0" w:line="269" w:lineRule="auto"/>
        <w:rPr>
          <w:sz w:val="20"/>
          <w:szCs w:val="20"/>
          <w:color w:val="auto"/>
        </w:rPr>
      </w:pPr>
      <w:r>
        <w:rPr>
          <w:rFonts w:ascii="Courier New" w:cs="Courier New" w:eastAsia="Courier New" w:hAnsi="Courier New"/>
          <w:sz w:val="16"/>
          <w:szCs w:val="16"/>
          <w:color w:val="auto"/>
        </w:rPr>
        <w:t>compensatory damages and punitive damages. In Johnson v. Amgen Boulder, Inc., et al., suits filed on February 14, 1995 in the Superior Court for the State of Washington, King County and in the United States District Court for the Western District of Washington, plaintiff seeks rescission of certain payments made to one of the defendants (or unspecified damages not less than $50.0 million) and treble damages. Plaintiff, a limited partner of defendant Synergen Clinical Partners, L.P., seeks to represent a class of other limited partners. The complaints allege violations of federal and state securities laws, violations of other federal and state statutes, fraud, negligence, breach of contract, conspiracy and breach of fiduciary duty. The defendants include Synergen, Synergen Clinical Partners, L.P., Synergen Development Corporation and former officers and directors of Synergen. The Superior Court action has been removed to federal court and consolidated with the suit filed in the United States District Court for the Western District of Washington.</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Elanex Pharmaceuticals litigation</w:t>
      </w:r>
    </w:p>
    <w:p>
      <w:pPr>
        <w:spacing w:after="0" w:line="207" w:lineRule="exact"/>
        <w:rPr>
          <w:sz w:val="20"/>
          <w:szCs w:val="20"/>
          <w:color w:val="auto"/>
        </w:rPr>
      </w:pPr>
    </w:p>
    <w:p>
      <w:pPr>
        <w:jc w:val="both"/>
        <w:ind w:right="2939" w:firstLine="527"/>
        <w:spacing w:after="0" w:line="272" w:lineRule="auto"/>
        <w:rPr>
          <w:sz w:val="20"/>
          <w:szCs w:val="20"/>
          <w:color w:val="auto"/>
        </w:rPr>
      </w:pPr>
      <w:r>
        <w:rPr>
          <w:rFonts w:ascii="Courier New" w:cs="Courier New" w:eastAsia="Courier New" w:hAnsi="Courier New"/>
          <w:sz w:val="16"/>
          <w:szCs w:val="16"/>
          <w:color w:val="auto"/>
        </w:rPr>
        <w:t>In October 1993, the Company filed a complaint for patent infringement against defendants Elanex Pharmaceuticals, Inc. ("Elanex"), Laboratorios Elanex De Costa Rica, S. A., Bio Sidus S.A., Merckle GmbH, Biosintetica S. A. and other unknown defendants. The complaint, filed in the United States District Court for the Western District of Washington at Seattle, seeks injunctive relief and damages for Elanex's infringement of the Company's patent for DNA sequences and host cells useful in producing recombinant</w:t>
      </w:r>
    </w:p>
    <w:p>
      <w:pPr>
        <w:spacing w:after="0" w:line="183" w:lineRule="exact"/>
        <w:rPr>
          <w:sz w:val="20"/>
          <w:szCs w:val="20"/>
          <w:color w:val="auto"/>
        </w:rPr>
      </w:pPr>
    </w:p>
    <w:p>
      <w:pPr>
        <w:jc w:val="both"/>
        <w:ind w:right="2939"/>
        <w:spacing w:after="0" w:line="237" w:lineRule="auto"/>
        <w:rPr>
          <w:sz w:val="20"/>
          <w:szCs w:val="20"/>
          <w:color w:val="auto"/>
        </w:rPr>
      </w:pPr>
      <w:r>
        <w:rPr>
          <w:rFonts w:ascii="Courier New" w:cs="Courier New" w:eastAsia="Courier New" w:hAnsi="Courier New"/>
          <w:sz w:val="18"/>
          <w:szCs w:val="18"/>
          <w:color w:val="auto"/>
        </w:rPr>
        <w:t>erythropoietin. The complaint also alleges that the foreign defendants entered into agreements with Elanex relating to the production or sale of recombinant erythropoietin and thereby have induced Elanex's infringement.</w:t>
      </w:r>
    </w:p>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In December 1993, Elanex responded to the complaint denying the material allegations thereof, and filed a counterclaim seeking a declaratory judgment that the Company's patent is invalid and that Elanex's recombinant erythropoietin technology does not infringe any valid claims of the Company's patent. The counterclaim also seeks an award of reasonable attorneys' fees and other costs of defense but does not seek damages against the Company. The case is currently in discovery.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Erythropoietin patent litigation</w:t>
      </w:r>
    </w:p>
    <w:p>
      <w:pPr>
        <w:spacing w:after="0" w:line="207" w:lineRule="exact"/>
        <w:rPr>
          <w:sz w:val="20"/>
          <w:szCs w:val="20"/>
          <w:color w:val="auto"/>
        </w:rPr>
      </w:pPr>
    </w:p>
    <w:p>
      <w:pPr>
        <w:jc w:val="both"/>
        <w:ind w:right="2939" w:firstLine="527"/>
        <w:spacing w:after="0" w:line="272" w:lineRule="auto"/>
        <w:rPr>
          <w:sz w:val="20"/>
          <w:szCs w:val="20"/>
          <w:color w:val="auto"/>
        </w:rPr>
      </w:pPr>
      <w:r>
        <w:rPr>
          <w:rFonts w:ascii="Courier New" w:cs="Courier New" w:eastAsia="Courier New" w:hAnsi="Courier New"/>
          <w:sz w:val="16"/>
          <w:szCs w:val="16"/>
          <w:color w:val="auto"/>
        </w:rPr>
        <w:t>Amgen has been engaged in litigation (the "Amgen suit") with Genetics Institute, Inc. ("Genetics Institute") and its commercial partner, Chugai Pharmaceutical Co., Ltd., regarding the infringement of Amgen's patent on the DNA sequence used in the production of erythropoietin (the "Amgen Patent") and the infringement by Amgen's erythropoietin product of a patent held by Genetics Institute.</w:t>
      </w:r>
    </w:p>
    <w:p>
      <w:pPr>
        <w:sectPr>
          <w:pgSz w:w="11900" w:h="16838" w:orient="portrait"/>
          <w:cols w:equalWidth="0" w:num="1">
            <w:col w:w="10219"/>
          </w:cols>
          <w:pgMar w:left="240" w:top="520" w:right="1440" w:bottom="1440" w:gutter="0" w:footer="0" w:header="0"/>
        </w:sectPr>
      </w:pPr>
    </w:p>
    <w:bookmarkStart w:id="18" w:name="page19"/>
    <w:bookmarkEnd w:id="18"/>
    <w:p>
      <w:pPr>
        <w:jc w:val="both"/>
        <w:ind w:right="2939" w:firstLine="527"/>
        <w:spacing w:after="0" w:line="271" w:lineRule="auto"/>
        <w:rPr>
          <w:sz w:val="20"/>
          <w:szCs w:val="20"/>
          <w:color w:val="auto"/>
        </w:rPr>
      </w:pPr>
      <w:r>
        <w:rPr>
          <w:rFonts w:ascii="Courier New" w:cs="Courier New" w:eastAsia="Courier New" w:hAnsi="Courier New"/>
          <w:sz w:val="16"/>
          <w:szCs w:val="16"/>
          <w:color w:val="auto"/>
        </w:rPr>
        <w:t>Genetics Institute and the Company announced on May 11, 1993 that they agreed to settle all outstanding patent disputes between them regarding erythropoietin in the United States. As part of the settlement, Genetics Institute paid the Company $13.9 million during the quarter ended September 30, 1993. An additional $2 million may be paid to the Company contingent upon the outcome of certain future events. As a result of the settlement of the litigation, Amgen expects to receive patents on the process for producing recombinant erythropoietin and on the recombinant erythropoietin product.</w:t>
      </w:r>
    </w:p>
    <w:p>
      <w:pPr>
        <w:spacing w:after="0" w:line="184" w:lineRule="exact"/>
        <w:rPr>
          <w:sz w:val="20"/>
          <w:szCs w:val="20"/>
          <w:color w:val="auto"/>
        </w:rPr>
      </w:pPr>
    </w:p>
    <w:p>
      <w:pPr>
        <w:jc w:val="both"/>
        <w:ind w:right="2939" w:firstLine="527"/>
        <w:spacing w:after="0" w:line="271" w:lineRule="auto"/>
        <w:rPr>
          <w:sz w:val="20"/>
          <w:szCs w:val="20"/>
          <w:color w:val="auto"/>
        </w:rPr>
      </w:pPr>
      <w:r>
        <w:rPr>
          <w:rFonts w:ascii="Courier New" w:cs="Courier New" w:eastAsia="Courier New" w:hAnsi="Courier New"/>
          <w:sz w:val="16"/>
          <w:szCs w:val="16"/>
          <w:color w:val="auto"/>
        </w:rPr>
        <w:t>In August 1991, Johnson &amp; Johnson, together with eleven of Johnson &amp; Johnson's Cilag European subsidiaries, filed a suit in the United States District Court for the District of Massachusetts in Boston, the site of the Amgen suit against Genetics Institute (the "Boston Court"), seeking damages from Genetics Institute for infringement of the Amgen Patent (the "Johnson &amp; Johnson suit") and moved to consolidate the Johnson &amp; Johnson suit with the original suit filed by Amgen. The two suits were consolidated by the Boston Court. Amgen was allowed to intervene in the Johnson &amp; Johnson suit for the limited purpose of seeking a summary judgment dismissing the</w:t>
      </w:r>
    </w:p>
    <w:p>
      <w:pPr>
        <w:spacing w:after="0" w:line="184" w:lineRule="exact"/>
        <w:rPr>
          <w:sz w:val="20"/>
          <w:szCs w:val="20"/>
          <w:color w:val="auto"/>
        </w:rPr>
      </w:pPr>
    </w:p>
    <w:p>
      <w:pPr>
        <w:jc w:val="both"/>
        <w:ind w:right="2939"/>
        <w:spacing w:after="0" w:line="271" w:lineRule="auto"/>
        <w:rPr>
          <w:sz w:val="20"/>
          <w:szCs w:val="20"/>
          <w:color w:val="auto"/>
        </w:rPr>
      </w:pPr>
      <w:r>
        <w:rPr>
          <w:rFonts w:ascii="Courier New" w:cs="Courier New" w:eastAsia="Courier New" w:hAnsi="Courier New"/>
          <w:sz w:val="16"/>
          <w:szCs w:val="16"/>
          <w:color w:val="auto"/>
        </w:rPr>
        <w:t>Johnson &amp; Johnson suit. In December 1992, the Boston Court determined that Johnson &amp; Johnson had no standing to sue Genetics Institute and entered judgment and dismissed the Johnson &amp; Johnson suit. Also, in December 1992, the Boston Court denied motions by Johnson &amp; Johnson to intervene in the Amgen suit for the limited purpose of seeking a summary judgment limiting Amgen's damages against Genetics Institute. Johnson &amp; Johnson appealed the Boston Court's December 1992 rulings, and on April 5, 1995, the U.S. Court of Appeals for the Federal Circuit upheld the December 1992 rulings.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Genetics Institute litigation</w:t>
      </w:r>
    </w:p>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On June 21, 1994, Genetics Institute filed suit in the United States District Court for the District of Delaware in Wilmington, against Johnson &amp; Johnson, a licensee and distributor of the Company, seeking damages for the alleged infringement of a recently issued U.S. Patent 5,322,837 relating to Johnson &amp; Johnson's manufacture, use, and sale of erythropoietin.</w:t>
      </w:r>
    </w:p>
    <w:p>
      <w:pPr>
        <w:spacing w:after="0" w:line="210"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On September 12, 1994, the Company filed suit in the United States District Court for the District of Massachusetts in Boston, against Genetics Institute, seeking declaratory judgment of patent non-infringement, invalidity and unenforceability against Genetics Institute in respect to U.S. Patent 5,322,837 issued to Genetics</w:t>
      </w:r>
    </w:p>
    <w:p>
      <w:pPr>
        <w:spacing w:after="0" w:line="6" w:lineRule="exact"/>
        <w:rPr>
          <w:sz w:val="20"/>
          <w:szCs w:val="20"/>
          <w:color w:val="auto"/>
        </w:rPr>
      </w:pPr>
    </w:p>
    <w:p>
      <w:pPr>
        <w:jc w:val="both"/>
        <w:ind w:right="2939"/>
        <w:spacing w:after="0" w:line="237" w:lineRule="auto"/>
        <w:rPr>
          <w:sz w:val="20"/>
          <w:szCs w:val="20"/>
          <w:color w:val="auto"/>
        </w:rPr>
      </w:pPr>
      <w:r>
        <w:rPr>
          <w:rFonts w:ascii="Courier New" w:cs="Courier New" w:eastAsia="Courier New" w:hAnsi="Courier New"/>
          <w:sz w:val="18"/>
          <w:szCs w:val="18"/>
          <w:color w:val="auto"/>
        </w:rPr>
        <w:t>Institute, which relates to homogeneous erythropoietin. Genetics Institute answered the complaint and filed a counterclaim against the Company alleging infringement of the same patent. On February 14, 1995, the United States District Court for the District of Massachusetts granted Amgen's motion for a summary judgment enforcing a prior judgment against Genetics Institute and barring Genetics Institute from asserting its U.S. Patent 5,322,837 against Amgen's recombinant erythropoietin. On March 13, 1995, Genetics Institute filed notice of appeal.</w:t>
      </w:r>
    </w:p>
    <w:p>
      <w:pPr>
        <w:sectPr>
          <w:pgSz w:w="11900" w:h="16838" w:orient="portrait"/>
          <w:cols w:equalWidth="0" w:num="1">
            <w:col w:w="10219"/>
          </w:cols>
          <w:pgMar w:left="240" w:top="520"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Biogen litigation</w:t>
      </w:r>
    </w:p>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On June 15, 1994, Biogen, Inc. ("Biogen") filed suit in the Tokyo District Court in Japan, against Amgen K.K., a subsidiary of the Company, seeking injunctive relief for the alleged infringement of two Japanese patents relating to alpha-interferon.</w:t>
      </w:r>
    </w:p>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On March 10, 1995, Biogen filed suit in the United States District Court for the District of Massachusetts seeking an unspecified amount of compensatory damages, treble damages and injunctive relief of its U.S. Patent 4,874,702 relating to vectors for expressing cloned genes. Biogen alleges that Amgen has infringed its patent by manufacturing and selling NEUPOGEN(R).</w:t>
      </w:r>
    </w:p>
    <w:p>
      <w:pPr>
        <w:spacing w:after="0" w:line="200" w:lineRule="exact"/>
        <w:rPr>
          <w:sz w:val="20"/>
          <w:szCs w:val="20"/>
          <w:color w:val="auto"/>
        </w:rPr>
      </w:pP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7"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 is made to the Index to Exhibits included herein.</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Company filed a report on Form 8-K dated February 21, 1995 reporting an amendment to its Rights Agreement, dated as of January 24, 1989, between Amgen Inc. and American Stock Transfer &amp; Trust Company, as Rights Agent, as amended.</w:t>
      </w:r>
    </w:p>
    <w:p>
      <w:pPr>
        <w:sectPr>
          <w:pgSz w:w="11900" w:h="16838" w:orient="portrait"/>
          <w:cols w:equalWidth="0" w:num="1">
            <w:col w:w="10219"/>
          </w:cols>
          <w:pgMar w:left="240" w:top="514" w:right="1440" w:bottom="1440" w:gutter="0" w:footer="0" w:header="0"/>
        </w:sectPr>
      </w:pPr>
    </w:p>
    <w:bookmarkStart w:id="20" w:name="page21"/>
    <w:bookmarkEnd w:id="20"/>
    <w:p>
      <w:pPr>
        <w:ind w:left="30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9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Amgen Inc.</w:t>
      </w:r>
    </w:p>
    <w:p>
      <w:pPr>
        <w:ind w:left="390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x/xx/95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By:/s/</w:t>
      </w:r>
      <w:r>
        <w:rPr>
          <w:sz w:val="20"/>
          <w:szCs w:val="20"/>
          <w:color w:val="auto"/>
        </w:rPr>
        <w:tab/>
      </w:r>
      <w:r>
        <w:rPr>
          <w:rFonts w:ascii="Courier New" w:cs="Courier New" w:eastAsia="Courier New" w:hAnsi="Courier New"/>
          <w:sz w:val="18"/>
          <w:szCs w:val="18"/>
          <w:color w:val="auto"/>
        </w:rPr>
        <w:t>Robert S. Attiyeh</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3180" w:space="720"/>
            <w:col w:w="6319"/>
          </w:cols>
          <w:pgMar w:left="240" w:top="514"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8"/>
          <w:szCs w:val="18"/>
          <w:color w:val="auto"/>
        </w:rPr>
        <w:t>Robert S. Attiyeh</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Senior Vice President, Finance</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and Corporate Development, and</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x/xx/95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By:/s/</w:t>
      </w:r>
      <w:r>
        <w:rPr>
          <w:sz w:val="20"/>
          <w:szCs w:val="20"/>
          <w:color w:val="auto"/>
        </w:rPr>
        <w:tab/>
      </w:r>
      <w:r>
        <w:rPr>
          <w:rFonts w:ascii="Courier New" w:cs="Courier New" w:eastAsia="Courier New" w:hAnsi="Courier New"/>
          <w:sz w:val="18"/>
          <w:szCs w:val="18"/>
          <w:color w:val="auto"/>
        </w:rPr>
        <w:t>Larry A. May</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3180" w:space="720"/>
            <w:col w:w="6319"/>
          </w:cols>
          <w:pgMar w:left="240" w:top="514"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8"/>
          <w:szCs w:val="18"/>
          <w:color w:val="auto"/>
        </w:rPr>
        <w:t>Larry A. May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Vice President, Corporate</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Controller and Chief</w:t>
      </w:r>
    </w:p>
    <w:p>
      <w:pPr>
        <w:ind w:left="4220"/>
        <w:spacing w:after="0" w:line="238" w:lineRule="auto"/>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1">
            <w:col w:w="10219"/>
          </w:cols>
          <w:pgMar w:left="240" w:top="514" w:right="1440"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AMGEN INC.</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608"/>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gridSpan w:val="5"/>
          </w:tcPr>
          <w:p>
            <w:pPr>
              <w:jc w:val="right"/>
              <w:ind w:right="112"/>
              <w:spacing w:after="0"/>
              <w:rPr>
                <w:sz w:val="20"/>
                <w:szCs w:val="20"/>
                <w:color w:val="auto"/>
              </w:rPr>
            </w:pPr>
            <w:r>
              <w:rPr>
                <w:rFonts w:ascii="Courier New" w:cs="Courier New" w:eastAsia="Courier New" w:hAnsi="Courier New"/>
                <w:sz w:val="18"/>
                <w:szCs w:val="18"/>
                <w:color w:val="auto"/>
              </w:rPr>
              <w:t>INDEX TO EXHIBITS</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608"/>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Exhibit No.</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Description</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05"/>
        </w:trPr>
        <w:tc>
          <w:tcPr>
            <w:tcW w:w="1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3.1</w:t>
            </w:r>
          </w:p>
        </w:tc>
        <w:tc>
          <w:tcPr>
            <w:tcW w:w="4800" w:type="dxa"/>
            <w:vAlign w:val="bottom"/>
            <w:gridSpan w:val="10"/>
          </w:tcPr>
          <w:p>
            <w:pPr>
              <w:ind w:left="60"/>
              <w:spacing w:after="0"/>
              <w:rPr>
                <w:sz w:val="20"/>
                <w:szCs w:val="20"/>
                <w:color w:val="auto"/>
              </w:rPr>
            </w:pPr>
            <w:r>
              <w:rPr>
                <w:rFonts w:ascii="Courier New" w:cs="Courier New" w:eastAsia="Courier New" w:hAnsi="Courier New"/>
                <w:sz w:val="18"/>
                <w:szCs w:val="18"/>
                <w:color w:val="auto"/>
              </w:rPr>
              <w:t>Restated Certificate of Incorporation. (7)</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3.2</w:t>
            </w:r>
          </w:p>
        </w:tc>
        <w:tc>
          <w:tcPr>
            <w:tcW w:w="5960" w:type="dxa"/>
            <w:vAlign w:val="bottom"/>
            <w:gridSpan w:val="13"/>
          </w:tcPr>
          <w:p>
            <w:pPr>
              <w:ind w:left="60"/>
              <w:spacing w:after="0" w:line="203" w:lineRule="exact"/>
              <w:rPr>
                <w:sz w:val="20"/>
                <w:szCs w:val="20"/>
                <w:color w:val="auto"/>
              </w:rPr>
            </w:pPr>
            <w:r>
              <w:rPr>
                <w:rFonts w:ascii="Courier New" w:cs="Courier New" w:eastAsia="Courier New" w:hAnsi="Courier New"/>
                <w:sz w:val="18"/>
                <w:szCs w:val="18"/>
                <w:color w:val="auto"/>
                <w:w w:val="97"/>
              </w:rPr>
              <w:t>Certificate of  Amendment  to  Restated  Certificate  of</w:t>
            </w:r>
          </w:p>
        </w:tc>
      </w:tr>
      <w:tr>
        <w:trPr>
          <w:trHeight w:val="203"/>
        </w:trPr>
        <w:tc>
          <w:tcPr>
            <w:tcW w:w="1220" w:type="dxa"/>
            <w:vAlign w:val="bottom"/>
          </w:tcPr>
          <w:p>
            <w:pPr>
              <w:spacing w:after="0"/>
              <w:rPr>
                <w:sz w:val="17"/>
                <w:szCs w:val="17"/>
                <w:color w:val="auto"/>
              </w:rPr>
            </w:pPr>
          </w:p>
        </w:tc>
        <w:tc>
          <w:tcPr>
            <w:tcW w:w="5480" w:type="dxa"/>
            <w:vAlign w:val="bottom"/>
            <w:gridSpan w:val="12"/>
          </w:tcPr>
          <w:p>
            <w:pPr>
              <w:ind w:left="60"/>
              <w:spacing w:after="0" w:line="203" w:lineRule="exact"/>
              <w:rPr>
                <w:sz w:val="20"/>
                <w:szCs w:val="20"/>
                <w:color w:val="auto"/>
              </w:rPr>
            </w:pPr>
            <w:r>
              <w:rPr>
                <w:rFonts w:ascii="Courier New" w:cs="Courier New" w:eastAsia="Courier New" w:hAnsi="Courier New"/>
                <w:sz w:val="18"/>
                <w:szCs w:val="18"/>
                <w:color w:val="auto"/>
                <w:w w:val="99"/>
              </w:rPr>
              <w:t>Incorporation, effective as of July 24, 1991. (14)</w:t>
            </w:r>
          </w:p>
        </w:tc>
        <w:tc>
          <w:tcPr>
            <w:tcW w:w="480" w:type="dxa"/>
            <w:vAlign w:val="bottom"/>
          </w:tcPr>
          <w:p>
            <w:pPr>
              <w:spacing w:after="0"/>
              <w:rPr>
                <w:sz w:val="17"/>
                <w:szCs w:val="17"/>
                <w:color w:val="auto"/>
              </w:rPr>
            </w:pPr>
          </w:p>
        </w:tc>
      </w:tr>
      <w:tr>
        <w:trPr>
          <w:trHeight w:val="203"/>
        </w:trPr>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3.3</w:t>
            </w:r>
          </w:p>
        </w:tc>
        <w:tc>
          <w:tcPr>
            <w:tcW w:w="3520" w:type="dxa"/>
            <w:vAlign w:val="bottom"/>
            <w:gridSpan w:val="7"/>
          </w:tcPr>
          <w:p>
            <w:pPr>
              <w:ind w:left="60"/>
              <w:spacing w:after="0" w:line="203" w:lineRule="exact"/>
              <w:rPr>
                <w:sz w:val="20"/>
                <w:szCs w:val="20"/>
                <w:color w:val="auto"/>
              </w:rPr>
            </w:pPr>
            <w:r>
              <w:rPr>
                <w:rFonts w:ascii="Courier New" w:cs="Courier New" w:eastAsia="Courier New" w:hAnsi="Courier New"/>
                <w:sz w:val="18"/>
                <w:szCs w:val="18"/>
                <w:color w:val="auto"/>
                <w:w w:val="99"/>
              </w:rPr>
              <w:t>Bylaws, as amended to date. (20)</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4.1</w:t>
            </w:r>
          </w:p>
        </w:tc>
        <w:tc>
          <w:tcPr>
            <w:tcW w:w="4320" w:type="dxa"/>
            <w:vAlign w:val="bottom"/>
            <w:gridSpan w:val="9"/>
          </w:tcPr>
          <w:p>
            <w:pPr>
              <w:ind w:left="60"/>
              <w:spacing w:after="0" w:line="203" w:lineRule="exact"/>
              <w:rPr>
                <w:sz w:val="20"/>
                <w:szCs w:val="20"/>
                <w:color w:val="auto"/>
              </w:rPr>
            </w:pPr>
            <w:r>
              <w:rPr>
                <w:rFonts w:ascii="Courier New" w:cs="Courier New" w:eastAsia="Courier New" w:hAnsi="Courier New"/>
                <w:sz w:val="18"/>
                <w:szCs w:val="18"/>
                <w:color w:val="auto"/>
              </w:rPr>
              <w:t>Indenture dated January 1, 1992 between</w:t>
            </w:r>
          </w:p>
        </w:tc>
        <w:tc>
          <w:tcPr>
            <w:tcW w:w="1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the Company and</w:t>
            </w:r>
          </w:p>
        </w:tc>
      </w:tr>
      <w:tr>
        <w:trPr>
          <w:trHeight w:val="203"/>
        </w:trPr>
        <w:tc>
          <w:tcPr>
            <w:tcW w:w="1220" w:type="dxa"/>
            <w:vAlign w:val="bottom"/>
          </w:tcPr>
          <w:p>
            <w:pPr>
              <w:spacing w:after="0"/>
              <w:rPr>
                <w:sz w:val="17"/>
                <w:szCs w:val="17"/>
                <w:color w:val="auto"/>
              </w:rPr>
            </w:pPr>
          </w:p>
        </w:tc>
        <w:tc>
          <w:tcPr>
            <w:tcW w:w="3520" w:type="dxa"/>
            <w:vAlign w:val="bottom"/>
            <w:gridSpan w:val="7"/>
          </w:tcPr>
          <w:p>
            <w:pPr>
              <w:ind w:left="60"/>
              <w:spacing w:after="0" w:line="203" w:lineRule="exact"/>
              <w:rPr>
                <w:sz w:val="20"/>
                <w:szCs w:val="20"/>
                <w:color w:val="auto"/>
              </w:rPr>
            </w:pPr>
            <w:r>
              <w:rPr>
                <w:rFonts w:ascii="Courier New" w:cs="Courier New" w:eastAsia="Courier New" w:hAnsi="Courier New"/>
                <w:sz w:val="18"/>
                <w:szCs w:val="18"/>
                <w:color w:val="auto"/>
              </w:rPr>
              <w:t>Citibank N.A., as trustee. (15)</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4.2</w:t>
            </w:r>
          </w:p>
        </w:tc>
        <w:tc>
          <w:tcPr>
            <w:tcW w:w="5960" w:type="dxa"/>
            <w:vAlign w:val="bottom"/>
            <w:gridSpan w:val="13"/>
          </w:tcPr>
          <w:p>
            <w:pPr>
              <w:ind w:left="60"/>
              <w:spacing w:after="0" w:line="203" w:lineRule="exact"/>
              <w:rPr>
                <w:sz w:val="20"/>
                <w:szCs w:val="20"/>
                <w:color w:val="auto"/>
              </w:rPr>
            </w:pPr>
            <w:r>
              <w:rPr>
                <w:rFonts w:ascii="Courier New" w:cs="Courier New" w:eastAsia="Courier New" w:hAnsi="Courier New"/>
                <w:sz w:val="18"/>
                <w:szCs w:val="18"/>
                <w:color w:val="auto"/>
                <w:w w:val="97"/>
              </w:rPr>
              <w:t>Forms of Commercial Paper Master Note Certificates. (19)</w:t>
            </w:r>
          </w:p>
        </w:tc>
      </w:tr>
      <w:tr>
        <w:trPr>
          <w:trHeight w:val="203"/>
        </w:trPr>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10.1*</w:t>
            </w:r>
          </w:p>
        </w:tc>
        <w:tc>
          <w:tcPr>
            <w:tcW w:w="5960" w:type="dxa"/>
            <w:vAlign w:val="bottom"/>
            <w:gridSpan w:val="13"/>
          </w:tcPr>
          <w:p>
            <w:pPr>
              <w:ind w:left="60"/>
              <w:spacing w:after="0" w:line="203" w:lineRule="exact"/>
              <w:rPr>
                <w:sz w:val="20"/>
                <w:szCs w:val="20"/>
                <w:color w:val="auto"/>
              </w:rPr>
            </w:pPr>
            <w:r>
              <w:rPr>
                <w:rFonts w:ascii="Courier New" w:cs="Courier New" w:eastAsia="Courier New" w:hAnsi="Courier New"/>
                <w:sz w:val="18"/>
                <w:szCs w:val="18"/>
                <w:color w:val="auto"/>
              </w:rPr>
              <w:t>Company's 1991 Equity Incentive Plan, as amended. (16)</w:t>
            </w:r>
          </w:p>
        </w:tc>
      </w:tr>
      <w:tr>
        <w:trPr>
          <w:trHeight w:val="203"/>
        </w:trPr>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10.2*</w:t>
            </w:r>
          </w:p>
        </w:tc>
        <w:tc>
          <w:tcPr>
            <w:tcW w:w="3900" w:type="dxa"/>
            <w:vAlign w:val="bottom"/>
            <w:gridSpan w:val="8"/>
          </w:tcPr>
          <w:p>
            <w:pPr>
              <w:ind w:left="60"/>
              <w:spacing w:after="0" w:line="203" w:lineRule="exact"/>
              <w:rPr>
                <w:sz w:val="20"/>
                <w:szCs w:val="20"/>
                <w:color w:val="auto"/>
              </w:rPr>
            </w:pPr>
            <w:r>
              <w:rPr>
                <w:rFonts w:ascii="Courier New" w:cs="Courier New" w:eastAsia="Courier New" w:hAnsi="Courier New"/>
                <w:sz w:val="18"/>
                <w:szCs w:val="18"/>
                <w:color w:val="auto"/>
                <w:w w:val="98"/>
              </w:rPr>
              <w:t>Company's 1984 Stock Option Plan, as</w:t>
            </w:r>
          </w:p>
        </w:tc>
        <w:tc>
          <w:tcPr>
            <w:tcW w:w="2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amended, and forms</w:t>
            </w:r>
          </w:p>
        </w:tc>
      </w:tr>
      <w:tr>
        <w:trPr>
          <w:trHeight w:val="203"/>
        </w:trPr>
        <w:tc>
          <w:tcPr>
            <w:tcW w:w="1220" w:type="dxa"/>
            <w:vAlign w:val="bottom"/>
          </w:tcPr>
          <w:p>
            <w:pPr>
              <w:spacing w:after="0"/>
              <w:rPr>
                <w:sz w:val="17"/>
                <w:szCs w:val="17"/>
                <w:color w:val="auto"/>
              </w:rPr>
            </w:pPr>
          </w:p>
        </w:tc>
        <w:tc>
          <w:tcPr>
            <w:tcW w:w="20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Incentive Stock</w:t>
            </w:r>
          </w:p>
        </w:tc>
        <w:tc>
          <w:tcPr>
            <w:tcW w:w="1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Option Grant and</w:t>
            </w:r>
          </w:p>
        </w:tc>
        <w:tc>
          <w:tcPr>
            <w:tcW w:w="2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Nonqualified Stock</w:t>
            </w:r>
          </w:p>
        </w:tc>
      </w:tr>
      <w:tr>
        <w:trPr>
          <w:trHeight w:val="203"/>
        </w:trPr>
        <w:tc>
          <w:tcPr>
            <w:tcW w:w="1220" w:type="dxa"/>
            <w:vAlign w:val="bottom"/>
          </w:tcPr>
          <w:p>
            <w:pPr>
              <w:spacing w:after="0"/>
              <w:rPr>
                <w:sz w:val="17"/>
                <w:szCs w:val="17"/>
                <w:color w:val="auto"/>
              </w:rPr>
            </w:pPr>
          </w:p>
        </w:tc>
        <w:tc>
          <w:tcPr>
            <w:tcW w:w="5000" w:type="dxa"/>
            <w:vAlign w:val="bottom"/>
            <w:gridSpan w:val="11"/>
          </w:tcPr>
          <w:p>
            <w:pPr>
              <w:ind w:left="60"/>
              <w:spacing w:after="0" w:line="203" w:lineRule="exact"/>
              <w:rPr>
                <w:sz w:val="20"/>
                <w:szCs w:val="20"/>
                <w:color w:val="auto"/>
              </w:rPr>
            </w:pPr>
            <w:r>
              <w:rPr>
                <w:rFonts w:ascii="Courier New" w:cs="Courier New" w:eastAsia="Courier New" w:hAnsi="Courier New"/>
                <w:sz w:val="18"/>
                <w:szCs w:val="18"/>
                <w:color w:val="auto"/>
                <w:w w:val="96"/>
              </w:rPr>
              <w:t>Option Grant used in connection therewith. (16)</w:t>
            </w: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10.3</w:t>
            </w:r>
          </w:p>
        </w:tc>
        <w:tc>
          <w:tcPr>
            <w:tcW w:w="4320" w:type="dxa"/>
            <w:vAlign w:val="bottom"/>
            <w:gridSpan w:val="9"/>
          </w:tcPr>
          <w:p>
            <w:pPr>
              <w:ind w:left="60"/>
              <w:spacing w:after="0" w:line="203" w:lineRule="exact"/>
              <w:rPr>
                <w:sz w:val="20"/>
                <w:szCs w:val="20"/>
                <w:color w:val="auto"/>
              </w:rPr>
            </w:pPr>
            <w:r>
              <w:rPr>
                <w:rFonts w:ascii="Courier New" w:cs="Courier New" w:eastAsia="Courier New" w:hAnsi="Courier New"/>
                <w:sz w:val="18"/>
                <w:szCs w:val="18"/>
                <w:color w:val="auto"/>
              </w:rPr>
              <w:t>Shareholder's Agreement of Kirin-Amgen,</w:t>
            </w:r>
          </w:p>
        </w:tc>
        <w:tc>
          <w:tcPr>
            <w:tcW w:w="1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Inc., dated May</w:t>
            </w:r>
          </w:p>
        </w:tc>
      </w:tr>
      <w:tr>
        <w:trPr>
          <w:trHeight w:val="203"/>
        </w:trPr>
        <w:tc>
          <w:tcPr>
            <w:tcW w:w="1220" w:type="dxa"/>
            <w:vAlign w:val="bottom"/>
          </w:tcPr>
          <w:p>
            <w:pPr>
              <w:spacing w:after="0"/>
              <w:rPr>
                <w:sz w:val="17"/>
                <w:szCs w:val="17"/>
                <w:color w:val="auto"/>
              </w:rPr>
            </w:pPr>
          </w:p>
        </w:tc>
        <w:tc>
          <w:tcPr>
            <w:tcW w:w="5960" w:type="dxa"/>
            <w:vAlign w:val="bottom"/>
            <w:gridSpan w:val="13"/>
          </w:tcPr>
          <w:p>
            <w:pPr>
              <w:ind w:left="60"/>
              <w:spacing w:after="0" w:line="203" w:lineRule="exact"/>
              <w:rPr>
                <w:sz w:val="20"/>
                <w:szCs w:val="20"/>
                <w:color w:val="auto"/>
              </w:rPr>
            </w:pPr>
            <w:r>
              <w:rPr>
                <w:rFonts w:ascii="Courier New" w:cs="Courier New" w:eastAsia="Courier New" w:hAnsi="Courier New"/>
                <w:sz w:val="18"/>
                <w:szCs w:val="18"/>
                <w:color w:val="auto"/>
                <w:w w:val="97"/>
              </w:rPr>
              <w:t>11, 1984, between the Company and Kirin Brewery Company,</w:t>
            </w:r>
          </w:p>
        </w:tc>
      </w:tr>
      <w:tr>
        <w:trPr>
          <w:trHeight w:val="203"/>
        </w:trPr>
        <w:tc>
          <w:tcPr>
            <w:tcW w:w="1220" w:type="dxa"/>
            <w:vAlign w:val="bottom"/>
          </w:tcPr>
          <w:p>
            <w:pPr>
              <w:spacing w:after="0"/>
              <w:rPr>
                <w:sz w:val="17"/>
                <w:szCs w:val="17"/>
                <w:color w:val="auto"/>
              </w:rPr>
            </w:pPr>
          </w:p>
        </w:tc>
        <w:tc>
          <w:tcPr>
            <w:tcW w:w="1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Limited (with</w:t>
            </w:r>
          </w:p>
        </w:tc>
        <w:tc>
          <w:tcPr>
            <w:tcW w:w="2260" w:type="dxa"/>
            <w:vAlign w:val="bottom"/>
            <w:gridSpan w:val="5"/>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certain confidential</w:t>
            </w:r>
          </w:p>
        </w:tc>
        <w:tc>
          <w:tcPr>
            <w:tcW w:w="2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information deleted</w:t>
            </w:r>
          </w:p>
        </w:tc>
      </w:tr>
      <w:tr>
        <w:trPr>
          <w:trHeight w:val="203"/>
        </w:trPr>
        <w:tc>
          <w:tcPr>
            <w:tcW w:w="1220" w:type="dxa"/>
            <w:vAlign w:val="bottom"/>
          </w:tcPr>
          <w:p>
            <w:pPr>
              <w:spacing w:after="0"/>
              <w:rPr>
                <w:sz w:val="17"/>
                <w:szCs w:val="17"/>
                <w:color w:val="auto"/>
              </w:rPr>
            </w:pPr>
          </w:p>
        </w:tc>
        <w:tc>
          <w:tcPr>
            <w:tcW w:w="1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therefrom). (1)</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10.4</w:t>
            </w:r>
          </w:p>
        </w:tc>
        <w:tc>
          <w:tcPr>
            <w:tcW w:w="1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Amendment</w:t>
            </w:r>
          </w:p>
        </w:tc>
        <w:tc>
          <w:tcPr>
            <w:tcW w:w="1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Nos. 1, 2,</w:t>
            </w:r>
          </w:p>
        </w:tc>
        <w:tc>
          <w:tcPr>
            <w:tcW w:w="1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and 3, dated March</w:t>
            </w:r>
          </w:p>
        </w:tc>
        <w:tc>
          <w:tcPr>
            <w:tcW w:w="1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19, 1985, July</w:t>
            </w:r>
          </w:p>
        </w:tc>
      </w:tr>
      <w:tr>
        <w:trPr>
          <w:trHeight w:val="203"/>
        </w:trPr>
        <w:tc>
          <w:tcPr>
            <w:tcW w:w="1220" w:type="dxa"/>
            <w:vAlign w:val="bottom"/>
          </w:tcPr>
          <w:p>
            <w:pPr>
              <w:spacing w:after="0"/>
              <w:rPr>
                <w:sz w:val="17"/>
                <w:szCs w:val="17"/>
                <w:color w:val="auto"/>
              </w:rPr>
            </w:pPr>
          </w:p>
        </w:tc>
        <w:tc>
          <w:tcPr>
            <w:tcW w:w="1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29, 1985</w:t>
            </w:r>
          </w:p>
        </w:tc>
        <w:tc>
          <w:tcPr>
            <w:tcW w:w="1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5"/>
              </w:rPr>
              <w:t>and December</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19, 1985,</w:t>
            </w:r>
          </w:p>
        </w:tc>
        <w:tc>
          <w:tcPr>
            <w:tcW w:w="196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w w:val="99"/>
              </w:rPr>
              <w:t>respectively, to</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220" w:type="dxa"/>
            <w:vAlign w:val="bottom"/>
          </w:tcPr>
          <w:p>
            <w:pPr>
              <w:spacing w:after="0"/>
              <w:rPr>
                <w:sz w:val="17"/>
                <w:szCs w:val="17"/>
                <w:color w:val="auto"/>
              </w:rPr>
            </w:pPr>
          </w:p>
        </w:tc>
        <w:tc>
          <w:tcPr>
            <w:tcW w:w="4320" w:type="dxa"/>
            <w:vAlign w:val="bottom"/>
            <w:gridSpan w:val="9"/>
          </w:tcPr>
          <w:p>
            <w:pPr>
              <w:ind w:left="60"/>
              <w:spacing w:after="0" w:line="203" w:lineRule="exact"/>
              <w:rPr>
                <w:sz w:val="20"/>
                <w:szCs w:val="20"/>
                <w:color w:val="auto"/>
              </w:rPr>
            </w:pPr>
            <w:r>
              <w:rPr>
                <w:rFonts w:ascii="Courier New" w:cs="Courier New" w:eastAsia="Courier New" w:hAnsi="Courier New"/>
                <w:sz w:val="18"/>
                <w:szCs w:val="18"/>
                <w:color w:val="auto"/>
              </w:rPr>
              <w:t>Shareholder's Agreement of Kirin-Amgen,</w:t>
            </w:r>
          </w:p>
        </w:tc>
        <w:tc>
          <w:tcPr>
            <w:tcW w:w="1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Inc., dated May</w:t>
            </w:r>
          </w:p>
        </w:tc>
      </w:tr>
      <w:tr>
        <w:trPr>
          <w:trHeight w:val="203"/>
        </w:trPr>
        <w:tc>
          <w:tcPr>
            <w:tcW w:w="1220" w:type="dxa"/>
            <w:vAlign w:val="bottom"/>
          </w:tcPr>
          <w:p>
            <w:pPr>
              <w:spacing w:after="0"/>
              <w:rPr>
                <w:sz w:val="17"/>
                <w:szCs w:val="17"/>
                <w:color w:val="auto"/>
              </w:rPr>
            </w:pPr>
          </w:p>
        </w:tc>
        <w:tc>
          <w:tcPr>
            <w:tcW w:w="23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5"/>
              </w:rPr>
              <w:t>11, 1984 (with certain</w:t>
            </w:r>
          </w:p>
        </w:tc>
        <w:tc>
          <w:tcPr>
            <w:tcW w:w="36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confidential information deleted</w:t>
            </w:r>
          </w:p>
        </w:tc>
      </w:tr>
      <w:tr>
        <w:trPr>
          <w:trHeight w:val="203"/>
        </w:trPr>
        <w:tc>
          <w:tcPr>
            <w:tcW w:w="1220" w:type="dxa"/>
            <w:vAlign w:val="bottom"/>
          </w:tcPr>
          <w:p>
            <w:pPr>
              <w:spacing w:after="0"/>
              <w:rPr>
                <w:sz w:val="17"/>
                <w:szCs w:val="17"/>
                <w:color w:val="auto"/>
              </w:rPr>
            </w:pPr>
          </w:p>
        </w:tc>
        <w:tc>
          <w:tcPr>
            <w:tcW w:w="1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therefrom). (3)</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10.5</w:t>
            </w:r>
          </w:p>
        </w:tc>
        <w:tc>
          <w:tcPr>
            <w:tcW w:w="5960" w:type="dxa"/>
            <w:vAlign w:val="bottom"/>
            <w:gridSpan w:val="13"/>
          </w:tcPr>
          <w:p>
            <w:pPr>
              <w:ind w:left="60"/>
              <w:spacing w:after="0" w:line="203" w:lineRule="exact"/>
              <w:rPr>
                <w:sz w:val="20"/>
                <w:szCs w:val="20"/>
                <w:color w:val="auto"/>
              </w:rPr>
            </w:pPr>
            <w:r>
              <w:rPr>
                <w:rFonts w:ascii="Courier New" w:cs="Courier New" w:eastAsia="Courier New" w:hAnsi="Courier New"/>
                <w:sz w:val="18"/>
                <w:szCs w:val="18"/>
                <w:color w:val="auto"/>
                <w:w w:val="97"/>
              </w:rPr>
              <w:t>Product License Agreement, dated September 30, 1985, and</w:t>
            </w:r>
          </w:p>
        </w:tc>
      </w:tr>
      <w:tr>
        <w:trPr>
          <w:trHeight w:val="203"/>
        </w:trPr>
        <w:tc>
          <w:tcPr>
            <w:tcW w:w="1220" w:type="dxa"/>
            <w:vAlign w:val="bottom"/>
          </w:tcPr>
          <w:p>
            <w:pPr>
              <w:spacing w:after="0"/>
              <w:rPr>
                <w:sz w:val="17"/>
                <w:szCs w:val="17"/>
                <w:color w:val="auto"/>
              </w:rPr>
            </w:pPr>
          </w:p>
        </w:tc>
        <w:tc>
          <w:tcPr>
            <w:tcW w:w="3900" w:type="dxa"/>
            <w:vAlign w:val="bottom"/>
            <w:gridSpan w:val="8"/>
          </w:tcPr>
          <w:p>
            <w:pPr>
              <w:ind w:left="60"/>
              <w:spacing w:after="0" w:line="203" w:lineRule="exact"/>
              <w:rPr>
                <w:sz w:val="20"/>
                <w:szCs w:val="20"/>
                <w:color w:val="auto"/>
              </w:rPr>
            </w:pPr>
            <w:r>
              <w:rPr>
                <w:rFonts w:ascii="Courier New" w:cs="Courier New" w:eastAsia="Courier New" w:hAnsi="Courier New"/>
                <w:sz w:val="18"/>
                <w:szCs w:val="18"/>
                <w:color w:val="auto"/>
                <w:w w:val="98"/>
              </w:rPr>
              <w:t>Technology License Agreement, dated,</w:t>
            </w:r>
          </w:p>
        </w:tc>
        <w:tc>
          <w:tcPr>
            <w:tcW w:w="2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September 30, 1985</w:t>
            </w:r>
          </w:p>
        </w:tc>
      </w:tr>
      <w:tr>
        <w:trPr>
          <w:trHeight w:val="203"/>
        </w:trPr>
        <w:tc>
          <w:tcPr>
            <w:tcW w:w="1220" w:type="dxa"/>
            <w:vAlign w:val="bottom"/>
          </w:tcPr>
          <w:p>
            <w:pPr>
              <w:spacing w:after="0"/>
              <w:rPr>
                <w:sz w:val="17"/>
                <w:szCs w:val="17"/>
                <w:color w:val="auto"/>
              </w:rPr>
            </w:pPr>
          </w:p>
        </w:tc>
        <w:tc>
          <w:tcPr>
            <w:tcW w:w="5960" w:type="dxa"/>
            <w:vAlign w:val="bottom"/>
            <w:gridSpan w:val="13"/>
          </w:tcPr>
          <w:p>
            <w:pPr>
              <w:ind w:left="60"/>
              <w:spacing w:after="0" w:line="203" w:lineRule="exact"/>
              <w:rPr>
                <w:sz w:val="20"/>
                <w:szCs w:val="20"/>
                <w:color w:val="auto"/>
              </w:rPr>
            </w:pPr>
            <w:r>
              <w:rPr>
                <w:rFonts w:ascii="Courier New" w:cs="Courier New" w:eastAsia="Courier New" w:hAnsi="Courier New"/>
                <w:sz w:val="18"/>
                <w:szCs w:val="18"/>
                <w:color w:val="auto"/>
                <w:w w:val="97"/>
              </w:rPr>
              <w:t>between the Company and Ortho Pharmaceutical Corporation</w:t>
            </w:r>
          </w:p>
        </w:tc>
      </w:tr>
      <w:tr>
        <w:trPr>
          <w:trHeight w:val="203"/>
        </w:trPr>
        <w:tc>
          <w:tcPr>
            <w:tcW w:w="1220" w:type="dxa"/>
            <w:vAlign w:val="bottom"/>
          </w:tcPr>
          <w:p>
            <w:pPr>
              <w:spacing w:after="0"/>
              <w:rPr>
                <w:sz w:val="17"/>
                <w:szCs w:val="17"/>
                <w:color w:val="auto"/>
              </w:rPr>
            </w:pP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certain</w:t>
            </w:r>
          </w:p>
        </w:tc>
        <w:tc>
          <w:tcPr>
            <w:tcW w:w="420" w:type="dxa"/>
            <w:vAlign w:val="bottom"/>
          </w:tcPr>
          <w:p>
            <w:pPr>
              <w:spacing w:after="0"/>
              <w:rPr>
                <w:sz w:val="17"/>
                <w:szCs w:val="17"/>
                <w:color w:val="auto"/>
              </w:rPr>
            </w:pPr>
          </w:p>
        </w:tc>
        <w:tc>
          <w:tcPr>
            <w:tcW w:w="14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confidential</w:t>
            </w:r>
          </w:p>
        </w:tc>
        <w:tc>
          <w:tcPr>
            <w:tcW w:w="12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5"/>
              </w:rPr>
              <w:t>information</w:t>
            </w:r>
          </w:p>
        </w:tc>
        <w:tc>
          <w:tcPr>
            <w:tcW w:w="20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deleted</w:t>
            </w:r>
          </w:p>
        </w:tc>
      </w:tr>
      <w:tr>
        <w:trPr>
          <w:trHeight w:val="203"/>
        </w:trPr>
        <w:tc>
          <w:tcPr>
            <w:tcW w:w="1220" w:type="dxa"/>
            <w:vAlign w:val="bottom"/>
          </w:tcPr>
          <w:p>
            <w:pPr>
              <w:spacing w:after="0"/>
              <w:rPr>
                <w:sz w:val="17"/>
                <w:szCs w:val="17"/>
                <w:color w:val="auto"/>
              </w:rPr>
            </w:pPr>
          </w:p>
        </w:tc>
        <w:tc>
          <w:tcPr>
            <w:tcW w:w="1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therefrom). (2)</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10.6</w:t>
            </w:r>
          </w:p>
        </w:tc>
        <w:tc>
          <w:tcPr>
            <w:tcW w:w="5960" w:type="dxa"/>
            <w:vAlign w:val="bottom"/>
            <w:gridSpan w:val="13"/>
          </w:tcPr>
          <w:p>
            <w:pPr>
              <w:ind w:left="60"/>
              <w:spacing w:after="0" w:line="203" w:lineRule="exact"/>
              <w:rPr>
                <w:sz w:val="20"/>
                <w:szCs w:val="20"/>
                <w:color w:val="auto"/>
              </w:rPr>
            </w:pPr>
            <w:r>
              <w:rPr>
                <w:rFonts w:ascii="Courier New" w:cs="Courier New" w:eastAsia="Courier New" w:hAnsi="Courier New"/>
                <w:sz w:val="18"/>
                <w:szCs w:val="18"/>
                <w:color w:val="auto"/>
                <w:w w:val="97"/>
              </w:rPr>
              <w:t>Product License Agreement, dated September 30, 1985, and</w:t>
            </w:r>
          </w:p>
        </w:tc>
      </w:tr>
      <w:tr>
        <w:trPr>
          <w:trHeight w:val="203"/>
        </w:trPr>
        <w:tc>
          <w:tcPr>
            <w:tcW w:w="1220" w:type="dxa"/>
            <w:vAlign w:val="bottom"/>
          </w:tcPr>
          <w:p>
            <w:pPr>
              <w:spacing w:after="0"/>
              <w:rPr>
                <w:sz w:val="17"/>
                <w:szCs w:val="17"/>
                <w:color w:val="auto"/>
              </w:rPr>
            </w:pPr>
          </w:p>
        </w:tc>
        <w:tc>
          <w:tcPr>
            <w:tcW w:w="316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w w:val="98"/>
              </w:rPr>
              <w:t>Technology License Agreement,</w:t>
            </w:r>
          </w:p>
        </w:tc>
        <w:tc>
          <w:tcPr>
            <w:tcW w:w="184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dated September</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30, 1985</w:t>
            </w:r>
          </w:p>
        </w:tc>
      </w:tr>
      <w:tr>
        <w:trPr>
          <w:trHeight w:val="203"/>
        </w:trPr>
        <w:tc>
          <w:tcPr>
            <w:tcW w:w="1220" w:type="dxa"/>
            <w:vAlign w:val="bottom"/>
          </w:tcPr>
          <w:p>
            <w:pPr>
              <w:spacing w:after="0"/>
              <w:rPr>
                <w:sz w:val="17"/>
                <w:szCs w:val="17"/>
                <w:color w:val="auto"/>
              </w:rPr>
            </w:pPr>
          </w:p>
        </w:tc>
        <w:tc>
          <w:tcPr>
            <w:tcW w:w="3520" w:type="dxa"/>
            <w:vAlign w:val="bottom"/>
            <w:gridSpan w:val="7"/>
          </w:tcPr>
          <w:p>
            <w:pPr>
              <w:ind w:left="60"/>
              <w:spacing w:after="0" w:line="203" w:lineRule="exact"/>
              <w:rPr>
                <w:sz w:val="20"/>
                <w:szCs w:val="20"/>
                <w:color w:val="auto"/>
              </w:rPr>
            </w:pPr>
            <w:r>
              <w:rPr>
                <w:rFonts w:ascii="Courier New" w:cs="Courier New" w:eastAsia="Courier New" w:hAnsi="Courier New"/>
                <w:sz w:val="18"/>
                <w:szCs w:val="18"/>
                <w:color w:val="auto"/>
                <w:w w:val="99"/>
              </w:rPr>
              <w:t>between  Kirin-Amgen,  Inc.  and</w:t>
            </w:r>
          </w:p>
        </w:tc>
        <w:tc>
          <w:tcPr>
            <w:tcW w:w="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Ortho</w:t>
            </w:r>
          </w:p>
        </w:tc>
        <w:tc>
          <w:tcPr>
            <w:tcW w:w="1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Pharmaceutical</w:t>
            </w:r>
          </w:p>
        </w:tc>
      </w:tr>
      <w:tr>
        <w:trPr>
          <w:trHeight w:val="203"/>
        </w:trPr>
        <w:tc>
          <w:tcPr>
            <w:tcW w:w="1220" w:type="dxa"/>
            <w:vAlign w:val="bottom"/>
          </w:tcPr>
          <w:p>
            <w:pPr>
              <w:spacing w:after="0"/>
              <w:rPr>
                <w:sz w:val="17"/>
                <w:szCs w:val="17"/>
                <w:color w:val="auto"/>
              </w:rPr>
            </w:pPr>
          </w:p>
        </w:tc>
        <w:tc>
          <w:tcPr>
            <w:tcW w:w="20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Corporation  (with</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certain</w:t>
            </w:r>
          </w:p>
        </w:tc>
        <w:tc>
          <w:tcPr>
            <w:tcW w:w="16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confidential</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information</w:t>
            </w:r>
          </w:p>
        </w:tc>
      </w:tr>
      <w:tr>
        <w:trPr>
          <w:trHeight w:val="203"/>
        </w:trPr>
        <w:tc>
          <w:tcPr>
            <w:tcW w:w="1220" w:type="dxa"/>
            <w:vAlign w:val="bottom"/>
          </w:tcPr>
          <w:p>
            <w:pPr>
              <w:spacing w:after="0"/>
              <w:rPr>
                <w:sz w:val="17"/>
                <w:szCs w:val="17"/>
                <w:color w:val="auto"/>
              </w:rPr>
            </w:pPr>
          </w:p>
        </w:tc>
        <w:tc>
          <w:tcPr>
            <w:tcW w:w="316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deleted therefrom). (3)</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10.7*</w:t>
            </w:r>
          </w:p>
        </w:tc>
        <w:tc>
          <w:tcPr>
            <w:tcW w:w="5960" w:type="dxa"/>
            <w:vAlign w:val="bottom"/>
            <w:gridSpan w:val="13"/>
          </w:tcPr>
          <w:p>
            <w:pPr>
              <w:ind w:left="60"/>
              <w:spacing w:after="0" w:line="203" w:lineRule="exact"/>
              <w:rPr>
                <w:sz w:val="20"/>
                <w:szCs w:val="20"/>
                <w:color w:val="auto"/>
              </w:rPr>
            </w:pPr>
            <w:r>
              <w:rPr>
                <w:rFonts w:ascii="Courier New" w:cs="Courier New" w:eastAsia="Courier New" w:hAnsi="Courier New"/>
                <w:sz w:val="18"/>
                <w:szCs w:val="18"/>
                <w:color w:val="auto"/>
                <w:w w:val="97"/>
              </w:rPr>
              <w:t>Company's Employee Stock Purchase Plan, amended April 1,</w:t>
            </w:r>
          </w:p>
        </w:tc>
      </w:tr>
      <w:tr>
        <w:trPr>
          <w:trHeight w:val="203"/>
        </w:trPr>
        <w:tc>
          <w:tcPr>
            <w:tcW w:w="1220" w:type="dxa"/>
            <w:vAlign w:val="bottom"/>
          </w:tcPr>
          <w:p>
            <w:pPr>
              <w:spacing w:after="0"/>
              <w:rPr>
                <w:sz w:val="17"/>
                <w:szCs w:val="17"/>
                <w:color w:val="auto"/>
              </w:rPr>
            </w:pP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1992.</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10.8</w:t>
            </w:r>
          </w:p>
        </w:tc>
        <w:tc>
          <w:tcPr>
            <w:tcW w:w="3900" w:type="dxa"/>
            <w:vAlign w:val="bottom"/>
            <w:gridSpan w:val="8"/>
          </w:tcPr>
          <w:p>
            <w:pPr>
              <w:ind w:left="60"/>
              <w:spacing w:after="0" w:line="203" w:lineRule="exact"/>
              <w:rPr>
                <w:sz w:val="20"/>
                <w:szCs w:val="20"/>
                <w:color w:val="auto"/>
              </w:rPr>
            </w:pPr>
            <w:r>
              <w:rPr>
                <w:rFonts w:ascii="Courier New" w:cs="Courier New" w:eastAsia="Courier New" w:hAnsi="Courier New"/>
                <w:sz w:val="18"/>
                <w:szCs w:val="18"/>
                <w:color w:val="auto"/>
              </w:rPr>
              <w:t>Agreement, dated February 12, 1986,</w:t>
            </w:r>
          </w:p>
        </w:tc>
        <w:tc>
          <w:tcPr>
            <w:tcW w:w="2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between the Company</w:t>
            </w:r>
          </w:p>
        </w:tc>
      </w:tr>
      <w:tr>
        <w:trPr>
          <w:trHeight w:val="203"/>
        </w:trPr>
        <w:tc>
          <w:tcPr>
            <w:tcW w:w="1220" w:type="dxa"/>
            <w:vAlign w:val="bottom"/>
          </w:tcPr>
          <w:p>
            <w:pPr>
              <w:spacing w:after="0"/>
              <w:rPr>
                <w:sz w:val="17"/>
                <w:szCs w:val="17"/>
                <w:color w:val="auto"/>
              </w:rPr>
            </w:pPr>
          </w:p>
        </w:tc>
        <w:tc>
          <w:tcPr>
            <w:tcW w:w="3520" w:type="dxa"/>
            <w:vAlign w:val="bottom"/>
            <w:gridSpan w:val="7"/>
          </w:tcPr>
          <w:p>
            <w:pPr>
              <w:ind w:left="60"/>
              <w:spacing w:after="0" w:line="203" w:lineRule="exact"/>
              <w:rPr>
                <w:sz w:val="20"/>
                <w:szCs w:val="20"/>
                <w:color w:val="auto"/>
              </w:rPr>
            </w:pPr>
            <w:r>
              <w:rPr>
                <w:rFonts w:ascii="Courier New" w:cs="Courier New" w:eastAsia="Courier New" w:hAnsi="Courier New"/>
                <w:sz w:val="18"/>
                <w:szCs w:val="18"/>
                <w:color w:val="auto"/>
                <w:w w:val="96"/>
              </w:rPr>
              <w:t>and Sloan-Kettering Institute for</w:t>
            </w:r>
          </w:p>
        </w:tc>
        <w:tc>
          <w:tcPr>
            <w:tcW w:w="24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Cancer Research (with</w:t>
            </w:r>
          </w:p>
        </w:tc>
      </w:tr>
      <w:tr>
        <w:trPr>
          <w:trHeight w:val="203"/>
        </w:trPr>
        <w:tc>
          <w:tcPr>
            <w:tcW w:w="1220" w:type="dxa"/>
            <w:vAlign w:val="bottom"/>
          </w:tcPr>
          <w:p>
            <w:pPr>
              <w:spacing w:after="0"/>
              <w:rPr>
                <w:sz w:val="17"/>
                <w:szCs w:val="17"/>
                <w:color w:val="auto"/>
              </w:rPr>
            </w:pPr>
          </w:p>
        </w:tc>
        <w:tc>
          <w:tcPr>
            <w:tcW w:w="5960" w:type="dxa"/>
            <w:vAlign w:val="bottom"/>
            <w:gridSpan w:val="13"/>
          </w:tcPr>
          <w:p>
            <w:pPr>
              <w:ind w:left="60"/>
              <w:spacing w:after="0" w:line="203" w:lineRule="exact"/>
              <w:rPr>
                <w:sz w:val="20"/>
                <w:szCs w:val="20"/>
                <w:color w:val="auto"/>
              </w:rPr>
            </w:pPr>
            <w:r>
              <w:rPr>
                <w:rFonts w:ascii="Courier New" w:cs="Courier New" w:eastAsia="Courier New" w:hAnsi="Courier New"/>
                <w:sz w:val="18"/>
                <w:szCs w:val="18"/>
                <w:color w:val="auto"/>
                <w:w w:val="97"/>
              </w:rPr>
              <w:t>certain confidential information deleted therefrom). (4)</w:t>
            </w:r>
          </w:p>
        </w:tc>
      </w:tr>
      <w:tr>
        <w:trPr>
          <w:trHeight w:val="203"/>
        </w:trPr>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10.9</w:t>
            </w:r>
          </w:p>
        </w:tc>
        <w:tc>
          <w:tcPr>
            <w:tcW w:w="3900" w:type="dxa"/>
            <w:vAlign w:val="bottom"/>
            <w:gridSpan w:val="8"/>
          </w:tcPr>
          <w:p>
            <w:pPr>
              <w:ind w:left="60"/>
              <w:spacing w:after="0" w:line="203" w:lineRule="exact"/>
              <w:rPr>
                <w:sz w:val="20"/>
                <w:szCs w:val="20"/>
                <w:color w:val="auto"/>
              </w:rPr>
            </w:pPr>
            <w:r>
              <w:rPr>
                <w:rFonts w:ascii="Courier New" w:cs="Courier New" w:eastAsia="Courier New" w:hAnsi="Courier New"/>
                <w:sz w:val="18"/>
                <w:szCs w:val="18"/>
                <w:color w:val="auto"/>
              </w:rPr>
              <w:t>Amendment No. 2, dated November 13,</w:t>
            </w:r>
          </w:p>
        </w:tc>
        <w:tc>
          <w:tcPr>
            <w:tcW w:w="2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1990, to Agreement,</w:t>
            </w:r>
          </w:p>
        </w:tc>
      </w:tr>
      <w:tr>
        <w:trPr>
          <w:trHeight w:val="203"/>
        </w:trPr>
        <w:tc>
          <w:tcPr>
            <w:tcW w:w="1220" w:type="dxa"/>
            <w:vAlign w:val="bottom"/>
          </w:tcPr>
          <w:p>
            <w:pPr>
              <w:spacing w:after="0"/>
              <w:rPr>
                <w:sz w:val="17"/>
                <w:szCs w:val="17"/>
                <w:color w:val="auto"/>
              </w:rPr>
            </w:pPr>
          </w:p>
        </w:tc>
        <w:tc>
          <w:tcPr>
            <w:tcW w:w="3520" w:type="dxa"/>
            <w:vAlign w:val="bottom"/>
            <w:gridSpan w:val="7"/>
          </w:tcPr>
          <w:p>
            <w:pPr>
              <w:ind w:left="60"/>
              <w:spacing w:after="0" w:line="203" w:lineRule="exact"/>
              <w:rPr>
                <w:sz w:val="20"/>
                <w:szCs w:val="20"/>
                <w:color w:val="auto"/>
              </w:rPr>
            </w:pPr>
            <w:r>
              <w:rPr>
                <w:rFonts w:ascii="Courier New" w:cs="Courier New" w:eastAsia="Courier New" w:hAnsi="Courier New"/>
                <w:sz w:val="18"/>
                <w:szCs w:val="18"/>
                <w:color w:val="auto"/>
                <w:w w:val="99"/>
              </w:rPr>
              <w:t>dated February 12, 1986, between</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2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Company and Sloan-</w:t>
            </w:r>
          </w:p>
        </w:tc>
      </w:tr>
      <w:tr>
        <w:trPr>
          <w:trHeight w:val="203"/>
        </w:trPr>
        <w:tc>
          <w:tcPr>
            <w:tcW w:w="1220" w:type="dxa"/>
            <w:vAlign w:val="bottom"/>
          </w:tcPr>
          <w:p>
            <w:pPr>
              <w:spacing w:after="0"/>
              <w:rPr>
                <w:sz w:val="17"/>
                <w:szCs w:val="17"/>
                <w:color w:val="auto"/>
              </w:rPr>
            </w:pPr>
          </w:p>
        </w:tc>
        <w:tc>
          <w:tcPr>
            <w:tcW w:w="20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Kettering Institute</w:t>
            </w:r>
          </w:p>
        </w:tc>
        <w:tc>
          <w:tcPr>
            <w:tcW w:w="14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for Cancer</w:t>
            </w:r>
          </w:p>
        </w:tc>
        <w:tc>
          <w:tcPr>
            <w:tcW w:w="1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Research (with</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certain</w:t>
            </w:r>
          </w:p>
        </w:tc>
      </w:tr>
      <w:tr>
        <w:trPr>
          <w:trHeight w:val="203"/>
        </w:trPr>
        <w:tc>
          <w:tcPr>
            <w:tcW w:w="1220" w:type="dxa"/>
            <w:vAlign w:val="bottom"/>
          </w:tcPr>
          <w:p>
            <w:pPr>
              <w:spacing w:after="0"/>
              <w:rPr>
                <w:sz w:val="17"/>
                <w:szCs w:val="17"/>
                <w:color w:val="auto"/>
              </w:rPr>
            </w:pPr>
          </w:p>
        </w:tc>
        <w:tc>
          <w:tcPr>
            <w:tcW w:w="5480" w:type="dxa"/>
            <w:vAlign w:val="bottom"/>
            <w:gridSpan w:val="12"/>
          </w:tcPr>
          <w:p>
            <w:pPr>
              <w:ind w:left="60"/>
              <w:spacing w:after="0" w:line="203" w:lineRule="exact"/>
              <w:rPr>
                <w:sz w:val="20"/>
                <w:szCs w:val="20"/>
                <w:color w:val="auto"/>
              </w:rPr>
            </w:pPr>
            <w:r>
              <w:rPr>
                <w:rFonts w:ascii="Courier New" w:cs="Courier New" w:eastAsia="Courier New" w:hAnsi="Courier New"/>
                <w:sz w:val="18"/>
                <w:szCs w:val="18"/>
                <w:color w:val="auto"/>
              </w:rPr>
              <w:t>confidential information deleted therefrom). (13)</w:t>
            </w:r>
          </w:p>
        </w:tc>
        <w:tc>
          <w:tcPr>
            <w:tcW w:w="480" w:type="dxa"/>
            <w:vAlign w:val="bottom"/>
          </w:tcPr>
          <w:p>
            <w:pPr>
              <w:spacing w:after="0"/>
              <w:rPr>
                <w:sz w:val="17"/>
                <w:szCs w:val="17"/>
                <w:color w:val="auto"/>
              </w:rPr>
            </w:pPr>
          </w:p>
        </w:tc>
      </w:tr>
      <w:tr>
        <w:trPr>
          <w:trHeight w:val="203"/>
        </w:trPr>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10.10</w:t>
            </w:r>
          </w:p>
        </w:tc>
        <w:tc>
          <w:tcPr>
            <w:tcW w:w="23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Research, Development</w:t>
            </w:r>
          </w:p>
        </w:tc>
        <w:tc>
          <w:tcPr>
            <w:tcW w:w="2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Technology Disclosure</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and License</w:t>
            </w:r>
          </w:p>
        </w:tc>
      </w:tr>
      <w:tr>
        <w:trPr>
          <w:trHeight w:val="203"/>
        </w:trPr>
        <w:tc>
          <w:tcPr>
            <w:tcW w:w="1220" w:type="dxa"/>
            <w:vAlign w:val="bottom"/>
          </w:tcPr>
          <w:p>
            <w:pPr>
              <w:spacing w:after="0"/>
              <w:rPr>
                <w:sz w:val="17"/>
                <w:szCs w:val="17"/>
                <w:color w:val="auto"/>
              </w:rPr>
            </w:pPr>
          </w:p>
        </w:tc>
        <w:tc>
          <w:tcPr>
            <w:tcW w:w="23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Agreement PPO, dated</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January 20,</w:t>
            </w:r>
          </w:p>
        </w:tc>
        <w:tc>
          <w:tcPr>
            <w:tcW w:w="12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1986, by</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and between</w:t>
            </w:r>
          </w:p>
        </w:tc>
      </w:tr>
      <w:tr>
        <w:trPr>
          <w:trHeight w:val="203"/>
        </w:trPr>
        <w:tc>
          <w:tcPr>
            <w:tcW w:w="1220" w:type="dxa"/>
            <w:vAlign w:val="bottom"/>
          </w:tcPr>
          <w:p>
            <w:pPr>
              <w:spacing w:after="0"/>
              <w:rPr>
                <w:sz w:val="17"/>
                <w:szCs w:val="17"/>
                <w:color w:val="auto"/>
              </w:rPr>
            </w:pPr>
          </w:p>
        </w:tc>
        <w:tc>
          <w:tcPr>
            <w:tcW w:w="4800" w:type="dxa"/>
            <w:vAlign w:val="bottom"/>
            <w:gridSpan w:val="10"/>
          </w:tcPr>
          <w:p>
            <w:pPr>
              <w:ind w:left="60"/>
              <w:spacing w:after="0" w:line="203" w:lineRule="exact"/>
              <w:rPr>
                <w:sz w:val="20"/>
                <w:szCs w:val="20"/>
                <w:color w:val="auto"/>
              </w:rPr>
            </w:pPr>
            <w:r>
              <w:rPr>
                <w:rFonts w:ascii="Courier New" w:cs="Courier New" w:eastAsia="Courier New" w:hAnsi="Courier New"/>
                <w:sz w:val="18"/>
                <w:szCs w:val="18"/>
                <w:color w:val="auto"/>
              </w:rPr>
              <w:t>the Company and Kirin Brewery Co., Ltd. (4)</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10.11</w:t>
            </w:r>
          </w:p>
        </w:tc>
        <w:tc>
          <w:tcPr>
            <w:tcW w:w="5960" w:type="dxa"/>
            <w:vAlign w:val="bottom"/>
            <w:gridSpan w:val="13"/>
          </w:tcPr>
          <w:p>
            <w:pPr>
              <w:ind w:left="60"/>
              <w:spacing w:after="0" w:line="203" w:lineRule="exact"/>
              <w:rPr>
                <w:sz w:val="20"/>
                <w:szCs w:val="20"/>
                <w:color w:val="auto"/>
              </w:rPr>
            </w:pPr>
            <w:r>
              <w:rPr>
                <w:rFonts w:ascii="Courier New" w:cs="Courier New" w:eastAsia="Courier New" w:hAnsi="Courier New"/>
                <w:sz w:val="18"/>
                <w:szCs w:val="18"/>
                <w:color w:val="auto"/>
                <w:w w:val="97"/>
              </w:rPr>
              <w:t>Research Collaboration Agreement, dated August 31, 1990,</w:t>
            </w:r>
          </w:p>
        </w:tc>
      </w:tr>
      <w:tr>
        <w:trPr>
          <w:trHeight w:val="203"/>
        </w:trPr>
        <w:tc>
          <w:tcPr>
            <w:tcW w:w="1220" w:type="dxa"/>
            <w:vAlign w:val="bottom"/>
          </w:tcPr>
          <w:p>
            <w:pPr>
              <w:spacing w:after="0"/>
              <w:rPr>
                <w:sz w:val="17"/>
                <w:szCs w:val="17"/>
                <w:color w:val="auto"/>
              </w:rPr>
            </w:pPr>
          </w:p>
        </w:tc>
        <w:tc>
          <w:tcPr>
            <w:tcW w:w="20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between Amgen Inc.</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and Regeneron</w:t>
            </w:r>
          </w:p>
        </w:tc>
        <w:tc>
          <w:tcPr>
            <w:tcW w:w="24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Pharmaceuticals, Inc.</w:t>
            </w:r>
          </w:p>
        </w:tc>
      </w:tr>
      <w:tr>
        <w:trPr>
          <w:trHeight w:val="203"/>
        </w:trPr>
        <w:tc>
          <w:tcPr>
            <w:tcW w:w="1220" w:type="dxa"/>
            <w:vAlign w:val="bottom"/>
          </w:tcPr>
          <w:p>
            <w:pPr>
              <w:spacing w:after="0"/>
              <w:rPr>
                <w:sz w:val="17"/>
                <w:szCs w:val="17"/>
                <w:color w:val="auto"/>
              </w:rPr>
            </w:pP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certain</w:t>
            </w:r>
          </w:p>
        </w:tc>
        <w:tc>
          <w:tcPr>
            <w:tcW w:w="420" w:type="dxa"/>
            <w:vAlign w:val="bottom"/>
          </w:tcPr>
          <w:p>
            <w:pPr>
              <w:spacing w:after="0"/>
              <w:rPr>
                <w:sz w:val="17"/>
                <w:szCs w:val="17"/>
                <w:color w:val="auto"/>
              </w:rPr>
            </w:pPr>
          </w:p>
        </w:tc>
        <w:tc>
          <w:tcPr>
            <w:tcW w:w="14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confidential</w:t>
            </w:r>
          </w:p>
        </w:tc>
        <w:tc>
          <w:tcPr>
            <w:tcW w:w="12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5"/>
              </w:rPr>
              <w:t>information</w:t>
            </w:r>
          </w:p>
        </w:tc>
        <w:tc>
          <w:tcPr>
            <w:tcW w:w="20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deleted</w:t>
            </w:r>
          </w:p>
        </w:tc>
      </w:tr>
      <w:tr>
        <w:trPr>
          <w:trHeight w:val="203"/>
        </w:trPr>
        <w:tc>
          <w:tcPr>
            <w:tcW w:w="1220" w:type="dxa"/>
            <w:vAlign w:val="bottom"/>
          </w:tcPr>
          <w:p>
            <w:pPr>
              <w:spacing w:after="0"/>
              <w:rPr>
                <w:sz w:val="17"/>
                <w:szCs w:val="17"/>
                <w:color w:val="auto"/>
              </w:rPr>
            </w:pPr>
          </w:p>
        </w:tc>
        <w:tc>
          <w:tcPr>
            <w:tcW w:w="20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therefrom). (13)</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10.12</w:t>
            </w:r>
          </w:p>
        </w:tc>
        <w:tc>
          <w:tcPr>
            <w:tcW w:w="1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Amendment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Nos.</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and   5,</w:t>
            </w:r>
          </w:p>
        </w:tc>
        <w:tc>
          <w:tcPr>
            <w:tcW w:w="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dated</w:t>
            </w:r>
          </w:p>
        </w:tc>
        <w:tc>
          <w:tcPr>
            <w:tcW w:w="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October</w:t>
            </w:r>
          </w:p>
        </w:tc>
        <w:tc>
          <w:tcPr>
            <w:tcW w:w="200" w:type="dxa"/>
            <w:vAlign w:val="bottom"/>
          </w:tcPr>
          <w:p>
            <w:pPr>
              <w:spacing w:after="0"/>
              <w:rPr>
                <w:sz w:val="17"/>
                <w:szCs w:val="17"/>
                <w:color w:val="auto"/>
              </w:rPr>
            </w:pP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16,</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1986</w:t>
            </w:r>
          </w:p>
        </w:tc>
      </w:tr>
      <w:tr>
        <w:trPr>
          <w:trHeight w:val="203"/>
        </w:trPr>
        <w:tc>
          <w:tcPr>
            <w:tcW w:w="1220" w:type="dxa"/>
            <w:vAlign w:val="bottom"/>
          </w:tcPr>
          <w:p>
            <w:pPr>
              <w:spacing w:after="0"/>
              <w:rPr>
                <w:sz w:val="17"/>
                <w:szCs w:val="17"/>
                <w:color w:val="auto"/>
              </w:rPr>
            </w:pPr>
          </w:p>
        </w:tc>
        <w:tc>
          <w:tcPr>
            <w:tcW w:w="5960" w:type="dxa"/>
            <w:vAlign w:val="bottom"/>
            <w:gridSpan w:val="13"/>
          </w:tcPr>
          <w:p>
            <w:pPr>
              <w:ind w:left="60"/>
              <w:spacing w:after="0" w:line="203" w:lineRule="exact"/>
              <w:rPr>
                <w:sz w:val="20"/>
                <w:szCs w:val="20"/>
                <w:color w:val="auto"/>
              </w:rPr>
            </w:pPr>
            <w:r>
              <w:rPr>
                <w:rFonts w:ascii="Courier New" w:cs="Courier New" w:eastAsia="Courier New" w:hAnsi="Courier New"/>
                <w:sz w:val="18"/>
                <w:szCs w:val="18"/>
                <w:color w:val="auto"/>
                <w:w w:val="97"/>
              </w:rPr>
              <w:t>(effective July 1, 1986) and December 6, 1986 (effective</w:t>
            </w:r>
          </w:p>
        </w:tc>
      </w:tr>
    </w:tbl>
    <w:p>
      <w:pPr>
        <w:sectPr>
          <w:pgSz w:w="11900" w:h="16838" w:orient="portrait"/>
          <w:cols w:equalWidth="0" w:num="1">
            <w:col w:w="10219"/>
          </w:cols>
          <w:pgMar w:left="240" w:top="514" w:right="1440" w:bottom="1440" w:gutter="0" w:footer="0" w:header="0"/>
        </w:sectPr>
      </w:pPr>
    </w:p>
    <w:bookmarkStart w:id="22" w:name="page23"/>
    <w:bookmarkEnd w:id="22"/>
    <w:p>
      <w:pPr>
        <w:jc w:val="both"/>
        <w:ind w:left="1160" w:right="3039"/>
        <w:spacing w:after="0" w:line="268" w:lineRule="auto"/>
        <w:rPr>
          <w:sz w:val="20"/>
          <w:szCs w:val="20"/>
          <w:color w:val="auto"/>
        </w:rPr>
      </w:pPr>
      <w:r>
        <w:rPr>
          <w:rFonts w:ascii="Courier New" w:cs="Courier New" w:eastAsia="Courier New" w:hAnsi="Courier New"/>
          <w:sz w:val="16"/>
          <w:szCs w:val="16"/>
          <w:color w:val="auto"/>
        </w:rPr>
        <w:t>July 1, 1986), respectively, to the Shareholders Agreement of Kirin-Amgen, Inc. dated May 11, 1984 (with certain confidential information deleted therefrom). (5)</w:t>
      </w:r>
    </w:p>
    <w:p>
      <w:pPr>
        <w:spacing w:after="0" w:line="1" w:lineRule="exact"/>
        <w:rPr>
          <w:sz w:val="20"/>
          <w:szCs w:val="20"/>
          <w:color w:val="auto"/>
        </w:rPr>
      </w:pPr>
    </w:p>
    <w:p>
      <w:pPr>
        <w:jc w:val="both"/>
        <w:ind w:left="1160" w:right="3039" w:hanging="1158"/>
        <w:spacing w:after="0" w:line="268" w:lineRule="auto"/>
        <w:tabs>
          <w:tab w:leader="none" w:pos="1140" w:val="left"/>
        </w:tabs>
        <w:rPr>
          <w:sz w:val="20"/>
          <w:szCs w:val="20"/>
          <w:color w:val="auto"/>
        </w:rPr>
      </w:pPr>
      <w:r>
        <w:rPr>
          <w:rFonts w:ascii="Courier New" w:cs="Courier New" w:eastAsia="Courier New" w:hAnsi="Courier New"/>
          <w:sz w:val="18"/>
          <w:szCs w:val="18"/>
          <w:color w:val="auto"/>
        </w:rPr>
        <w:t>10.13</w:t>
      </w:r>
      <w:r>
        <w:rPr>
          <w:sz w:val="20"/>
          <w:szCs w:val="20"/>
          <w:color w:val="auto"/>
        </w:rPr>
        <w:tab/>
      </w:r>
      <w:r>
        <w:rPr>
          <w:rFonts w:ascii="Courier New" w:cs="Courier New" w:eastAsia="Courier New" w:hAnsi="Courier New"/>
          <w:sz w:val="16"/>
          <w:szCs w:val="16"/>
          <w:color w:val="auto"/>
        </w:rPr>
        <w:t>Assignment and License Agreement, dated October 16, 1986, between the Company and Kirin-Amgen, Inc. (with certain confidential information deleted therefrom). (5)</w:t>
      </w:r>
    </w:p>
    <w:p>
      <w:pPr>
        <w:spacing w:after="0" w:line="1" w:lineRule="exact"/>
        <w:rPr>
          <w:sz w:val="20"/>
          <w:szCs w:val="20"/>
          <w:color w:val="auto"/>
        </w:rPr>
      </w:pPr>
    </w:p>
    <w:p>
      <w:pPr>
        <w:jc w:val="both"/>
        <w:ind w:left="1160" w:right="3039" w:hanging="1158"/>
        <w:spacing w:after="0" w:line="268" w:lineRule="auto"/>
        <w:tabs>
          <w:tab w:leader="none" w:pos="1140" w:val="left"/>
        </w:tabs>
        <w:rPr>
          <w:sz w:val="20"/>
          <w:szCs w:val="20"/>
          <w:color w:val="auto"/>
        </w:rPr>
      </w:pPr>
      <w:r>
        <w:rPr>
          <w:rFonts w:ascii="Courier New" w:cs="Courier New" w:eastAsia="Courier New" w:hAnsi="Courier New"/>
          <w:sz w:val="18"/>
          <w:szCs w:val="18"/>
          <w:color w:val="auto"/>
        </w:rPr>
        <w:t>10.14</w:t>
      </w:r>
      <w:r>
        <w:rPr>
          <w:sz w:val="20"/>
          <w:szCs w:val="20"/>
          <w:color w:val="auto"/>
        </w:rPr>
        <w:tab/>
      </w:r>
      <w:r>
        <w:rPr>
          <w:rFonts w:ascii="Courier New" w:cs="Courier New" w:eastAsia="Courier New" w:hAnsi="Courier New"/>
          <w:sz w:val="16"/>
          <w:szCs w:val="16"/>
          <w:color w:val="auto"/>
        </w:rPr>
        <w:t>G-CSF European License Agreement, dated December 30, 1986, between Kirin-Amgen, Inc. and the Company (with certain confidential information deleted therefrom). (5)</w:t>
      </w:r>
    </w:p>
    <w:p>
      <w:pPr>
        <w:spacing w:after="0" w:line="1" w:lineRule="exact"/>
        <w:rPr>
          <w:sz w:val="20"/>
          <w:szCs w:val="20"/>
          <w:color w:val="auto"/>
        </w:rPr>
      </w:pPr>
    </w:p>
    <w:p>
      <w:pPr>
        <w:jc w:val="both"/>
        <w:ind w:left="1160" w:right="3039" w:hanging="1158"/>
        <w:spacing w:after="0" w:line="268" w:lineRule="auto"/>
        <w:tabs>
          <w:tab w:leader="none" w:pos="1140" w:val="left"/>
        </w:tabs>
        <w:rPr>
          <w:sz w:val="20"/>
          <w:szCs w:val="20"/>
          <w:color w:val="auto"/>
        </w:rPr>
      </w:pPr>
      <w:r>
        <w:rPr>
          <w:rFonts w:ascii="Courier New" w:cs="Courier New" w:eastAsia="Courier New" w:hAnsi="Courier New"/>
          <w:sz w:val="18"/>
          <w:szCs w:val="18"/>
          <w:color w:val="auto"/>
        </w:rPr>
        <w:t>10.15</w:t>
      </w:r>
      <w:r>
        <w:rPr>
          <w:sz w:val="20"/>
          <w:szCs w:val="20"/>
          <w:color w:val="auto"/>
        </w:rPr>
        <w:tab/>
      </w:r>
      <w:r>
        <w:rPr>
          <w:rFonts w:ascii="Courier New" w:cs="Courier New" w:eastAsia="Courier New" w:hAnsi="Courier New"/>
          <w:sz w:val="16"/>
          <w:szCs w:val="16"/>
          <w:color w:val="auto"/>
        </w:rPr>
        <w:t>Research and Development Technology Disclosure and License Agreement: GM-CSF, dated March 31, 1987, between Kirin Brewery Company, Limited and the Company (with certain confidential information deleted therefrom). (5)</w:t>
      </w:r>
    </w:p>
    <w:p>
      <w:pPr>
        <w:spacing w:after="0"/>
        <w:tabs>
          <w:tab w:leader="none" w:pos="1140" w:val="left"/>
        </w:tabs>
        <w:rPr>
          <w:sz w:val="20"/>
          <w:szCs w:val="20"/>
          <w:color w:val="auto"/>
        </w:rPr>
      </w:pPr>
      <w:r>
        <w:rPr>
          <w:rFonts w:ascii="Courier New" w:cs="Courier New" w:eastAsia="Courier New" w:hAnsi="Courier New"/>
          <w:sz w:val="18"/>
          <w:szCs w:val="18"/>
          <w:color w:val="auto"/>
        </w:rPr>
        <w:t>10.16*</w:t>
      </w:r>
      <w:r>
        <w:rPr>
          <w:sz w:val="20"/>
          <w:szCs w:val="20"/>
          <w:color w:val="auto"/>
        </w:rPr>
        <w:tab/>
      </w:r>
      <w:r>
        <w:rPr>
          <w:rFonts w:ascii="Courier New" w:cs="Courier New" w:eastAsia="Courier New" w:hAnsi="Courier New"/>
          <w:sz w:val="16"/>
          <w:szCs w:val="16"/>
          <w:color w:val="auto"/>
        </w:rPr>
        <w:t>Company's 1987 Directors' Stock Option Plan, as amended.</w:t>
      </w:r>
    </w:p>
    <w:p>
      <w:pPr>
        <w:ind w:left="1160"/>
        <w:spacing w:after="0" w:line="238" w:lineRule="auto"/>
        <w:rPr>
          <w:sz w:val="20"/>
          <w:szCs w:val="20"/>
          <w:color w:val="auto"/>
        </w:rPr>
      </w:pPr>
      <w:r>
        <w:rPr>
          <w:rFonts w:ascii="Courier New" w:cs="Courier New" w:eastAsia="Courier New" w:hAnsi="Courier New"/>
          <w:sz w:val="18"/>
          <w:szCs w:val="18"/>
          <w:color w:val="auto"/>
        </w:rPr>
        <w:t>(13)</w:t>
      </w:r>
    </w:p>
    <w:p>
      <w:pPr>
        <w:spacing w:after="0" w:line="5" w:lineRule="exact"/>
        <w:rPr>
          <w:sz w:val="20"/>
          <w:szCs w:val="20"/>
          <w:color w:val="auto"/>
        </w:rPr>
      </w:pPr>
    </w:p>
    <w:p>
      <w:pPr>
        <w:jc w:val="both"/>
        <w:ind w:left="1160" w:right="30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10.17</w:t>
      </w:r>
      <w:r>
        <w:rPr>
          <w:sz w:val="20"/>
          <w:szCs w:val="20"/>
          <w:color w:val="auto"/>
        </w:rPr>
        <w:tab/>
      </w:r>
      <w:r>
        <w:rPr>
          <w:rFonts w:ascii="Courier New" w:cs="Courier New" w:eastAsia="Courier New" w:hAnsi="Courier New"/>
          <w:sz w:val="18"/>
          <w:szCs w:val="18"/>
          <w:color w:val="auto"/>
        </w:rPr>
        <w:t>Cross License Agreement, dated June 1, 1987, between Amgen Inc. and Amgen Clinical Partners, L.P. (6)</w:t>
      </w:r>
    </w:p>
    <w:p>
      <w:pPr>
        <w:spacing w:after="0" w:line="6" w:lineRule="exact"/>
        <w:rPr>
          <w:sz w:val="20"/>
          <w:szCs w:val="20"/>
          <w:color w:val="auto"/>
        </w:rPr>
      </w:pPr>
    </w:p>
    <w:p>
      <w:pPr>
        <w:jc w:val="both"/>
        <w:ind w:left="1160" w:right="30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10.18</w:t>
      </w:r>
      <w:r>
        <w:rPr>
          <w:sz w:val="20"/>
          <w:szCs w:val="20"/>
          <w:color w:val="auto"/>
        </w:rPr>
        <w:tab/>
      </w:r>
      <w:r>
        <w:rPr>
          <w:rFonts w:ascii="Courier New" w:cs="Courier New" w:eastAsia="Courier New" w:hAnsi="Courier New"/>
          <w:sz w:val="18"/>
          <w:szCs w:val="18"/>
          <w:color w:val="auto"/>
        </w:rPr>
        <w:t>Development Agreement, dated June 1, 1987, between Amgen Inc. and Amgen Clinical Partners, L.P. (6)</w:t>
      </w:r>
    </w:p>
    <w:p>
      <w:pPr>
        <w:spacing w:after="0" w:line="6" w:lineRule="exact"/>
        <w:rPr>
          <w:sz w:val="20"/>
          <w:szCs w:val="20"/>
          <w:color w:val="auto"/>
        </w:rPr>
      </w:pPr>
    </w:p>
    <w:p>
      <w:pPr>
        <w:jc w:val="both"/>
        <w:ind w:left="1160" w:right="30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10.19</w:t>
      </w:r>
      <w:r>
        <w:rPr>
          <w:sz w:val="20"/>
          <w:szCs w:val="20"/>
          <w:color w:val="auto"/>
        </w:rPr>
        <w:tab/>
      </w:r>
      <w:r>
        <w:rPr>
          <w:rFonts w:ascii="Courier New" w:cs="Courier New" w:eastAsia="Courier New" w:hAnsi="Courier New"/>
          <w:sz w:val="18"/>
          <w:szCs w:val="18"/>
          <w:color w:val="auto"/>
        </w:rPr>
        <w:t>Joint Venture Agreement, dated June 1, 1987, between Amgen Inc. and Amgen Clinical Partners, L.P. (6)</w:t>
      </w:r>
    </w:p>
    <w:p>
      <w:pPr>
        <w:spacing w:after="0" w:line="6" w:lineRule="exact"/>
        <w:rPr>
          <w:sz w:val="20"/>
          <w:szCs w:val="20"/>
          <w:color w:val="auto"/>
        </w:rPr>
      </w:pPr>
    </w:p>
    <w:p>
      <w:pPr>
        <w:jc w:val="both"/>
        <w:ind w:left="1160" w:right="3039" w:hanging="1158"/>
        <w:spacing w:after="0" w:line="236" w:lineRule="auto"/>
        <w:tabs>
          <w:tab w:leader="none" w:pos="1140" w:val="left"/>
        </w:tabs>
        <w:rPr>
          <w:sz w:val="20"/>
          <w:szCs w:val="20"/>
          <w:color w:val="auto"/>
        </w:rPr>
      </w:pPr>
      <w:r>
        <w:rPr>
          <w:rFonts w:ascii="Courier New" w:cs="Courier New" w:eastAsia="Courier New" w:hAnsi="Courier New"/>
          <w:sz w:val="18"/>
          <w:szCs w:val="18"/>
          <w:color w:val="auto"/>
        </w:rPr>
        <w:t>10.20</w:t>
      </w:r>
      <w:r>
        <w:rPr>
          <w:sz w:val="20"/>
          <w:szCs w:val="20"/>
          <w:color w:val="auto"/>
        </w:rPr>
        <w:tab/>
      </w:r>
      <w:r>
        <w:rPr>
          <w:rFonts w:ascii="Courier New" w:cs="Courier New" w:eastAsia="Courier New" w:hAnsi="Courier New"/>
          <w:sz w:val="18"/>
          <w:szCs w:val="18"/>
          <w:color w:val="auto"/>
        </w:rPr>
        <w:t>Partnership Purchase Option Agreement, dated June 1, 1987, between Amgen Inc. and Amgen Clinical Partners, L.P. (6)</w:t>
      </w:r>
    </w:p>
    <w:p>
      <w:pPr>
        <w:spacing w:after="0" w:line="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10.21*</w:t>
      </w:r>
      <w:r>
        <w:rPr>
          <w:sz w:val="20"/>
          <w:szCs w:val="20"/>
          <w:color w:val="auto"/>
        </w:rPr>
        <w:tab/>
      </w:r>
      <w:r>
        <w:rPr>
          <w:rFonts w:ascii="Courier New" w:cs="Courier New" w:eastAsia="Courier New" w:hAnsi="Courier New"/>
          <w:sz w:val="16"/>
          <w:szCs w:val="16"/>
          <w:color w:val="auto"/>
        </w:rPr>
        <w:t>Company's 1988 Stock Option Plan, as amended. (16)</w:t>
      </w:r>
    </w:p>
    <w:p>
      <w:pPr>
        <w:spacing w:after="0" w:line="4" w:lineRule="exact"/>
        <w:rPr>
          <w:sz w:val="20"/>
          <w:szCs w:val="20"/>
          <w:color w:val="auto"/>
        </w:rPr>
      </w:pPr>
    </w:p>
    <w:p>
      <w:pPr>
        <w:jc w:val="both"/>
        <w:ind w:left="1160" w:right="30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10.22*</w:t>
      </w:r>
      <w:r>
        <w:rPr>
          <w:sz w:val="20"/>
          <w:szCs w:val="20"/>
          <w:color w:val="auto"/>
        </w:rPr>
        <w:tab/>
      </w:r>
      <w:r>
        <w:rPr>
          <w:rFonts w:ascii="Courier New" w:cs="Courier New" w:eastAsia="Courier New" w:hAnsi="Courier New"/>
          <w:sz w:val="18"/>
          <w:szCs w:val="18"/>
          <w:color w:val="auto"/>
        </w:rPr>
        <w:t>Company's Retirement and Savings Plan, amended and restated as of January 1, 1993. (17)</w:t>
      </w:r>
    </w:p>
    <w:p>
      <w:pPr>
        <w:spacing w:after="0"/>
        <w:tabs>
          <w:tab w:leader="none" w:pos="1140" w:val="left"/>
          <w:tab w:leader="none" w:pos="2500" w:val="left"/>
          <w:tab w:leader="none" w:pos="3340" w:val="left"/>
          <w:tab w:leader="none" w:pos="4080" w:val="left"/>
          <w:tab w:leader="none" w:pos="4720" w:val="left"/>
          <w:tab w:leader="none" w:pos="5560" w:val="left"/>
          <w:tab w:leader="none" w:pos="6080" w:val="left"/>
        </w:tabs>
        <w:rPr>
          <w:sz w:val="20"/>
          <w:szCs w:val="20"/>
          <w:color w:val="auto"/>
        </w:rPr>
      </w:pPr>
      <w:r>
        <w:rPr>
          <w:rFonts w:ascii="Courier New" w:cs="Courier New" w:eastAsia="Courier New" w:hAnsi="Courier New"/>
          <w:sz w:val="18"/>
          <w:szCs w:val="18"/>
          <w:color w:val="auto"/>
        </w:rPr>
        <w:t>10.23</w:t>
      </w:r>
      <w:r>
        <w:rPr>
          <w:sz w:val="20"/>
          <w:szCs w:val="20"/>
          <w:color w:val="auto"/>
        </w:rPr>
        <w:tab/>
      </w:r>
      <w:r>
        <w:rPr>
          <w:rFonts w:ascii="Courier New" w:cs="Courier New" w:eastAsia="Courier New" w:hAnsi="Courier New"/>
          <w:sz w:val="18"/>
          <w:szCs w:val="18"/>
          <w:color w:val="auto"/>
        </w:rPr>
        <w:t>Amendment,</w:t>
      </w:r>
      <w:r>
        <w:rPr>
          <w:sz w:val="20"/>
          <w:szCs w:val="20"/>
          <w:color w:val="auto"/>
        </w:rPr>
        <w:tab/>
      </w: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June</w:t>
      </w:r>
      <w:r>
        <w:rPr>
          <w:sz w:val="20"/>
          <w:szCs w:val="20"/>
          <w:color w:val="auto"/>
        </w:rPr>
        <w:tab/>
      </w:r>
      <w:r>
        <w:rPr>
          <w:rFonts w:ascii="Courier New" w:cs="Courier New" w:eastAsia="Courier New" w:hAnsi="Courier New"/>
          <w:sz w:val="18"/>
          <w:szCs w:val="18"/>
          <w:color w:val="auto"/>
        </w:rPr>
        <w:t>30,</w:t>
      </w:r>
      <w:r>
        <w:rPr>
          <w:sz w:val="20"/>
          <w:szCs w:val="20"/>
          <w:color w:val="auto"/>
        </w:rPr>
        <w:tab/>
      </w:r>
      <w:r>
        <w:rPr>
          <w:rFonts w:ascii="Courier New" w:cs="Courier New" w:eastAsia="Courier New" w:hAnsi="Courier New"/>
          <w:sz w:val="18"/>
          <w:szCs w:val="18"/>
          <w:color w:val="auto"/>
        </w:rPr>
        <w:t>1988,</w:t>
      </w:r>
      <w:r>
        <w:rPr>
          <w:sz w:val="20"/>
          <w:szCs w:val="20"/>
          <w:color w:val="auto"/>
        </w:rPr>
        <w:tab/>
      </w: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6"/>
          <w:szCs w:val="16"/>
          <w:color w:val="auto"/>
        </w:rPr>
        <w:t>Research,</w:t>
      </w:r>
    </w:p>
    <w:p>
      <w:pPr>
        <w:spacing w:after="0" w:line="4" w:lineRule="exact"/>
        <w:rPr>
          <w:sz w:val="20"/>
          <w:szCs w:val="20"/>
          <w:color w:val="auto"/>
        </w:rPr>
      </w:pPr>
    </w:p>
    <w:p>
      <w:pPr>
        <w:jc w:val="both"/>
        <w:ind w:left="1160" w:right="3039"/>
        <w:spacing w:after="0" w:line="236" w:lineRule="auto"/>
        <w:rPr>
          <w:sz w:val="20"/>
          <w:szCs w:val="20"/>
          <w:color w:val="auto"/>
        </w:rPr>
      </w:pPr>
      <w:r>
        <w:rPr>
          <w:rFonts w:ascii="Courier New" w:cs="Courier New" w:eastAsia="Courier New" w:hAnsi="Courier New"/>
          <w:sz w:val="18"/>
          <w:szCs w:val="18"/>
          <w:color w:val="auto"/>
        </w:rPr>
        <w:t>Development, Technology Disclosure and License Agreement: GM-CSF dated March 31, 1987, between Kirin Brewery Company, Limited and the Company. (7)</w:t>
      </w:r>
    </w:p>
    <w:p>
      <w:pPr>
        <w:spacing w:after="0" w:line="6" w:lineRule="exact"/>
        <w:rPr>
          <w:sz w:val="20"/>
          <w:szCs w:val="20"/>
          <w:color w:val="auto"/>
        </w:rPr>
      </w:pPr>
    </w:p>
    <w:p>
      <w:pPr>
        <w:jc w:val="both"/>
        <w:ind w:left="1160" w:right="3039" w:hanging="1158"/>
        <w:spacing w:after="0" w:line="237" w:lineRule="auto"/>
        <w:tabs>
          <w:tab w:leader="none" w:pos="1140" w:val="left"/>
        </w:tabs>
        <w:rPr>
          <w:sz w:val="20"/>
          <w:szCs w:val="20"/>
          <w:color w:val="auto"/>
        </w:rPr>
      </w:pPr>
      <w:r>
        <w:rPr>
          <w:rFonts w:ascii="Courier New" w:cs="Courier New" w:eastAsia="Courier New" w:hAnsi="Courier New"/>
          <w:sz w:val="18"/>
          <w:szCs w:val="18"/>
          <w:color w:val="auto"/>
        </w:rPr>
        <w:t>10.24</w:t>
      </w:r>
      <w:r>
        <w:rPr>
          <w:sz w:val="20"/>
          <w:szCs w:val="20"/>
          <w:color w:val="auto"/>
        </w:rPr>
        <w:tab/>
      </w:r>
      <w:r>
        <w:rPr>
          <w:rFonts w:ascii="Courier New" w:cs="Courier New" w:eastAsia="Courier New" w:hAnsi="Courier New"/>
          <w:sz w:val="18"/>
          <w:szCs w:val="18"/>
          <w:color w:val="auto"/>
        </w:rPr>
        <w:t>Amending Agreement, dated June 30, 1988, to Development Agreement, Partner Purchase Option Agreement, Cross License Agreement and Joint Venture Agreement, dated June 1, 1987, between the Company and Amgen Clinical Partners, L.P. (7)</w:t>
      </w:r>
    </w:p>
    <w:p>
      <w:pPr>
        <w:spacing w:after="0" w:line="6" w:lineRule="exact"/>
        <w:rPr>
          <w:sz w:val="20"/>
          <w:szCs w:val="20"/>
          <w:color w:val="auto"/>
        </w:rPr>
      </w:pPr>
    </w:p>
    <w:p>
      <w:pPr>
        <w:jc w:val="both"/>
        <w:ind w:left="1160" w:right="3039" w:hanging="1158"/>
        <w:spacing w:after="0" w:line="237" w:lineRule="auto"/>
        <w:tabs>
          <w:tab w:leader="none" w:pos="1140" w:val="left"/>
        </w:tabs>
        <w:rPr>
          <w:sz w:val="20"/>
          <w:szCs w:val="20"/>
          <w:color w:val="auto"/>
        </w:rPr>
      </w:pPr>
      <w:r>
        <w:rPr>
          <w:rFonts w:ascii="Courier New" w:cs="Courier New" w:eastAsia="Courier New" w:hAnsi="Courier New"/>
          <w:sz w:val="18"/>
          <w:szCs w:val="18"/>
          <w:color w:val="auto"/>
        </w:rPr>
        <w:t>10.25</w:t>
      </w:r>
      <w:r>
        <w:rPr>
          <w:sz w:val="20"/>
          <w:szCs w:val="20"/>
          <w:color w:val="auto"/>
        </w:rPr>
        <w:tab/>
      </w:r>
      <w:r>
        <w:rPr>
          <w:rFonts w:ascii="Courier New" w:cs="Courier New" w:eastAsia="Courier New" w:hAnsi="Courier New"/>
          <w:sz w:val="18"/>
          <w:szCs w:val="18"/>
          <w:color w:val="auto"/>
        </w:rPr>
        <w:t>Agreement on G-CSF in the EU, dated September 26, 1988, between Amgen Inc. and F. Hoffmann-La Roche &amp; Co. Limited Company (with certain confidential information deleted therefrom). (9)</w:t>
      </w:r>
    </w:p>
    <w:p>
      <w:pPr>
        <w:spacing w:after="0" w:line="5" w:lineRule="exact"/>
        <w:rPr>
          <w:sz w:val="20"/>
          <w:szCs w:val="20"/>
          <w:color w:val="auto"/>
        </w:rPr>
      </w:pPr>
    </w:p>
    <w:p>
      <w:pPr>
        <w:jc w:val="both"/>
        <w:ind w:left="1160" w:right="3039" w:hanging="1158"/>
        <w:spacing w:after="0" w:line="237" w:lineRule="auto"/>
        <w:tabs>
          <w:tab w:leader="none" w:pos="1140" w:val="left"/>
        </w:tabs>
        <w:rPr>
          <w:sz w:val="20"/>
          <w:szCs w:val="20"/>
          <w:color w:val="auto"/>
        </w:rPr>
      </w:pPr>
      <w:r>
        <w:rPr>
          <w:rFonts w:ascii="Courier New" w:cs="Courier New" w:eastAsia="Courier New" w:hAnsi="Courier New"/>
          <w:sz w:val="18"/>
          <w:szCs w:val="18"/>
          <w:color w:val="auto"/>
        </w:rPr>
        <w:t>10.26</w:t>
      </w:r>
      <w:r>
        <w:rPr>
          <w:sz w:val="20"/>
          <w:szCs w:val="20"/>
          <w:color w:val="auto"/>
        </w:rPr>
        <w:tab/>
      </w:r>
      <w:r>
        <w:rPr>
          <w:rFonts w:ascii="Courier New" w:cs="Courier New" w:eastAsia="Courier New" w:hAnsi="Courier New"/>
          <w:sz w:val="18"/>
          <w:szCs w:val="18"/>
          <w:color w:val="auto"/>
        </w:rPr>
        <w:t>Supplementary Agreement to Agreement dated January 4, 1989 to Agreement on G-CSF in the EU, dated September 26, 1988, between the Company and F. Hoffmann-La Roche &amp; Co. Limited Company, (with certain confidential information deleted therefrom). (9)</w:t>
      </w:r>
    </w:p>
    <w:p>
      <w:pPr>
        <w:spacing w:after="0" w:line="6" w:lineRule="exact"/>
        <w:rPr>
          <w:sz w:val="20"/>
          <w:szCs w:val="20"/>
          <w:color w:val="auto"/>
        </w:rPr>
      </w:pPr>
    </w:p>
    <w:p>
      <w:pPr>
        <w:jc w:val="both"/>
        <w:ind w:left="1160" w:right="3039" w:hanging="1158"/>
        <w:spacing w:after="0" w:line="237" w:lineRule="auto"/>
        <w:tabs>
          <w:tab w:leader="none" w:pos="1140" w:val="left"/>
        </w:tabs>
        <w:rPr>
          <w:sz w:val="20"/>
          <w:szCs w:val="20"/>
          <w:color w:val="auto"/>
        </w:rPr>
      </w:pPr>
      <w:r>
        <w:rPr>
          <w:rFonts w:ascii="Courier New" w:cs="Courier New" w:eastAsia="Courier New" w:hAnsi="Courier New"/>
          <w:sz w:val="18"/>
          <w:szCs w:val="18"/>
          <w:color w:val="auto"/>
        </w:rPr>
        <w:t>10.27</w:t>
      </w:r>
      <w:r>
        <w:rPr>
          <w:sz w:val="20"/>
          <w:szCs w:val="20"/>
          <w:color w:val="auto"/>
        </w:rPr>
        <w:tab/>
      </w:r>
      <w:r>
        <w:rPr>
          <w:rFonts w:ascii="Courier New" w:cs="Courier New" w:eastAsia="Courier New" w:hAnsi="Courier New"/>
          <w:sz w:val="18"/>
          <w:szCs w:val="18"/>
          <w:color w:val="auto"/>
        </w:rPr>
        <w:t>Agreement on G-CSF in Certain European Countries, dated January 1, 1989, between Amgen Inc. and F. Hoffmann-La Roche &amp; Co. Limited Company (with certain confidential information deleted therefrom). (9)</w:t>
      </w:r>
    </w:p>
    <w:p>
      <w:pPr>
        <w:spacing w:after="0" w:line="5" w:lineRule="exact"/>
        <w:rPr>
          <w:sz w:val="20"/>
          <w:szCs w:val="20"/>
          <w:color w:val="auto"/>
        </w:rPr>
      </w:pPr>
    </w:p>
    <w:p>
      <w:pPr>
        <w:jc w:val="both"/>
        <w:ind w:left="1160" w:right="3039" w:hanging="1158"/>
        <w:spacing w:after="0" w:line="236" w:lineRule="auto"/>
        <w:tabs>
          <w:tab w:leader="none" w:pos="1140" w:val="left"/>
        </w:tabs>
        <w:rPr>
          <w:sz w:val="20"/>
          <w:szCs w:val="20"/>
          <w:color w:val="auto"/>
        </w:rPr>
      </w:pPr>
      <w:r>
        <w:rPr>
          <w:rFonts w:ascii="Courier New" w:cs="Courier New" w:eastAsia="Courier New" w:hAnsi="Courier New"/>
          <w:sz w:val="18"/>
          <w:szCs w:val="18"/>
          <w:color w:val="auto"/>
        </w:rPr>
        <w:t>10.28</w:t>
      </w:r>
      <w:r>
        <w:rPr>
          <w:sz w:val="20"/>
          <w:szCs w:val="20"/>
          <w:color w:val="auto"/>
        </w:rPr>
        <w:tab/>
      </w:r>
      <w:r>
        <w:rPr>
          <w:rFonts w:ascii="Courier New" w:cs="Courier New" w:eastAsia="Courier New" w:hAnsi="Courier New"/>
          <w:sz w:val="18"/>
          <w:szCs w:val="18"/>
          <w:color w:val="auto"/>
        </w:rPr>
        <w:t>Rights Agreement, dated January 24, 1989, between Amgen Inc. and American Stock Transfer and Trust Company, Rights Agent. (8)</w:t>
      </w:r>
    </w:p>
    <w:p>
      <w:pPr>
        <w:spacing w:after="0" w:line="6" w:lineRule="exact"/>
        <w:rPr>
          <w:sz w:val="20"/>
          <w:szCs w:val="20"/>
          <w:color w:val="auto"/>
        </w:rPr>
      </w:pPr>
    </w:p>
    <w:p>
      <w:pPr>
        <w:jc w:val="both"/>
        <w:ind w:left="1160" w:right="3039" w:hanging="1158"/>
        <w:spacing w:after="0" w:line="236" w:lineRule="auto"/>
        <w:tabs>
          <w:tab w:leader="none" w:pos="1140" w:val="left"/>
        </w:tabs>
        <w:rPr>
          <w:sz w:val="20"/>
          <w:szCs w:val="20"/>
          <w:color w:val="auto"/>
        </w:rPr>
      </w:pPr>
      <w:r>
        <w:rPr>
          <w:rFonts w:ascii="Courier New" w:cs="Courier New" w:eastAsia="Courier New" w:hAnsi="Courier New"/>
          <w:sz w:val="18"/>
          <w:szCs w:val="18"/>
          <w:color w:val="auto"/>
        </w:rPr>
        <w:t>10.29</w:t>
      </w:r>
      <w:r>
        <w:rPr>
          <w:sz w:val="20"/>
          <w:szCs w:val="20"/>
          <w:color w:val="auto"/>
        </w:rPr>
        <w:tab/>
      </w:r>
      <w:r>
        <w:rPr>
          <w:rFonts w:ascii="Courier New" w:cs="Courier New" w:eastAsia="Courier New" w:hAnsi="Courier New"/>
          <w:sz w:val="18"/>
          <w:szCs w:val="18"/>
          <w:color w:val="auto"/>
        </w:rPr>
        <w:t>First Amendment to Rights Agreement, dated January 22, 1991, between Amgen Inc. and American Stock Transfer and Trust Company, Rights Agent. (11)</w:t>
      </w:r>
    </w:p>
    <w:p>
      <w:pPr>
        <w:sectPr>
          <w:pgSz w:w="11900" w:h="16838" w:orient="portrait"/>
          <w:cols w:equalWidth="0" w:num="1">
            <w:col w:w="10099"/>
          </w:cols>
          <w:pgMar w:left="360" w:top="520"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4"/>
        </w:trPr>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10.30</w:t>
            </w:r>
          </w:p>
        </w:tc>
        <w:tc>
          <w:tcPr>
            <w:tcW w:w="22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Second Amendment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to Rights</w:t>
            </w:r>
          </w:p>
        </w:tc>
        <w:tc>
          <w:tcPr>
            <w:tcW w:w="1220" w:type="dxa"/>
            <w:vAlign w:val="bottom"/>
          </w:tcPr>
          <w:p>
            <w:pPr>
              <w:ind w:left="100"/>
              <w:spacing w:after="0"/>
              <w:rPr>
                <w:sz w:val="20"/>
                <w:szCs w:val="20"/>
                <w:color w:val="auto"/>
              </w:rPr>
            </w:pPr>
            <w:r>
              <w:rPr>
                <w:rFonts w:ascii="Courier New" w:cs="Courier New" w:eastAsia="Courier New" w:hAnsi="Courier New"/>
                <w:sz w:val="18"/>
                <w:szCs w:val="18"/>
                <w:color w:val="auto"/>
              </w:rPr>
              <w:t>Agreement,</w:t>
            </w:r>
          </w:p>
        </w:tc>
        <w:tc>
          <w:tcPr>
            <w:tcW w:w="14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dated April</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840" w:type="dxa"/>
            <w:vAlign w:val="bottom"/>
          </w:tcPr>
          <w:p>
            <w:pPr>
              <w:spacing w:after="0"/>
              <w:rPr>
                <w:sz w:val="17"/>
                <w:szCs w:val="17"/>
                <w:color w:val="auto"/>
              </w:rPr>
            </w:pP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1991, between</w:t>
            </w: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Amgen Inc. and</w:t>
            </w:r>
          </w:p>
        </w:tc>
        <w:tc>
          <w:tcPr>
            <w:tcW w:w="2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American Stock Transfer and</w:t>
            </w:r>
          </w:p>
        </w:tc>
      </w:tr>
      <w:tr>
        <w:trPr>
          <w:trHeight w:val="203"/>
        </w:trPr>
        <w:tc>
          <w:tcPr>
            <w:tcW w:w="840" w:type="dxa"/>
            <w:vAlign w:val="bottom"/>
          </w:tcPr>
          <w:p>
            <w:pPr>
              <w:spacing w:after="0"/>
              <w:rPr>
                <w:sz w:val="17"/>
                <w:szCs w:val="17"/>
                <w:color w:val="auto"/>
              </w:rPr>
            </w:pPr>
          </w:p>
        </w:tc>
        <w:tc>
          <w:tcPr>
            <w:tcW w:w="32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6"/>
              </w:rPr>
              <w:t>Trust Company, Rights Agent.</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w:t>
            </w: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10.31</w:t>
            </w:r>
          </w:p>
        </w:tc>
        <w:tc>
          <w:tcPr>
            <w:tcW w:w="32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Credit Agreement, dated as</w:t>
            </w:r>
          </w:p>
        </w:tc>
        <w:tc>
          <w:tcPr>
            <w:tcW w:w="2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of November 15,  1991, among</w:t>
            </w:r>
          </w:p>
        </w:tc>
      </w:tr>
      <w:tr>
        <w:trPr>
          <w:trHeight w:val="203"/>
        </w:trPr>
        <w:tc>
          <w:tcPr>
            <w:tcW w:w="840" w:type="dxa"/>
            <w:vAlign w:val="bottom"/>
          </w:tcPr>
          <w:p>
            <w:pPr>
              <w:spacing w:after="0"/>
              <w:rPr>
                <w:sz w:val="17"/>
                <w:szCs w:val="17"/>
                <w:color w:val="auto"/>
              </w:rPr>
            </w:pP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Amgen Inc.,</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The Borrowing</w:t>
            </w:r>
          </w:p>
        </w:tc>
        <w:tc>
          <w:tcPr>
            <w:tcW w:w="2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Subsidiaries therein</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named,</w:t>
            </w:r>
          </w:p>
        </w:tc>
      </w:tr>
      <w:tr>
        <w:trPr>
          <w:trHeight w:val="203"/>
        </w:trPr>
        <w:tc>
          <w:tcPr>
            <w:tcW w:w="840" w:type="dxa"/>
            <w:vAlign w:val="bottom"/>
          </w:tcPr>
          <w:p>
            <w:pPr>
              <w:spacing w:after="0"/>
              <w:rPr>
                <w:sz w:val="17"/>
                <w:szCs w:val="17"/>
                <w:color w:val="auto"/>
              </w:rPr>
            </w:pPr>
          </w:p>
        </w:tc>
        <w:tc>
          <w:tcPr>
            <w:tcW w:w="22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the Banks  therein</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named,</w:t>
            </w: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Swiss Bank</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Corporation,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w:t>
            </w:r>
          </w:p>
        </w:tc>
      </w:tr>
      <w:tr>
        <w:trPr>
          <w:trHeight w:val="203"/>
        </w:trPr>
        <w:tc>
          <w:tcPr>
            <w:tcW w:w="840" w:type="dxa"/>
            <w:vAlign w:val="bottom"/>
          </w:tcPr>
          <w:p>
            <w:pPr>
              <w:spacing w:after="0"/>
              <w:rPr>
                <w:sz w:val="17"/>
                <w:szCs w:val="17"/>
                <w:color w:val="auto"/>
              </w:rPr>
            </w:pP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issuing Bank</w:t>
            </w:r>
          </w:p>
        </w:tc>
        <w:tc>
          <w:tcPr>
            <w:tcW w:w="36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and Swiss  Bank  Corporation and</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Citicorp</w:t>
            </w:r>
          </w:p>
        </w:tc>
      </w:tr>
      <w:tr>
        <w:trPr>
          <w:trHeight w:val="203"/>
        </w:trPr>
        <w:tc>
          <w:tcPr>
            <w:tcW w:w="840" w:type="dxa"/>
            <w:vAlign w:val="bottom"/>
          </w:tcPr>
          <w:p>
            <w:pPr>
              <w:spacing w:after="0"/>
              <w:rPr>
                <w:sz w:val="17"/>
                <w:szCs w:val="17"/>
                <w:color w:val="auto"/>
              </w:rPr>
            </w:pP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USA, Inc., as</w:t>
            </w:r>
          </w:p>
        </w:tc>
        <w:tc>
          <w:tcPr>
            <w:tcW w:w="28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Co-Agents. (17)</w:t>
            </w: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4" w:lineRule="exact"/>
        <w:rPr>
          <w:sz w:val="20"/>
          <w:szCs w:val="20"/>
          <w:color w:val="auto"/>
        </w:rPr>
      </w:pPr>
    </w:p>
    <w:p>
      <w:pPr>
        <w:jc w:val="both"/>
        <w:ind w:left="1160" w:right="3039" w:hanging="1158"/>
        <w:spacing w:after="0" w:line="236" w:lineRule="auto"/>
        <w:tabs>
          <w:tab w:leader="none" w:pos="1140" w:val="left"/>
        </w:tabs>
        <w:rPr>
          <w:sz w:val="20"/>
          <w:szCs w:val="20"/>
          <w:color w:val="auto"/>
        </w:rPr>
      </w:pPr>
      <w:r>
        <w:rPr>
          <w:rFonts w:ascii="Courier New" w:cs="Courier New" w:eastAsia="Courier New" w:hAnsi="Courier New"/>
          <w:sz w:val="18"/>
          <w:szCs w:val="18"/>
          <w:color w:val="auto"/>
        </w:rPr>
        <w:t>10.32</w:t>
      </w:r>
      <w:r>
        <w:rPr>
          <w:sz w:val="20"/>
          <w:szCs w:val="20"/>
          <w:color w:val="auto"/>
        </w:rPr>
        <w:tab/>
      </w:r>
      <w:r>
        <w:rPr>
          <w:rFonts w:ascii="Courier New" w:cs="Courier New" w:eastAsia="Courier New" w:hAnsi="Courier New"/>
          <w:sz w:val="18"/>
          <w:szCs w:val="18"/>
          <w:color w:val="auto"/>
        </w:rPr>
        <w:t>Deed of Trust and Security Agreement, dated June 1, 1989, between the Company and UNUM Life Insurance Company of America. (10)</w:t>
      </w:r>
    </w:p>
    <w:p>
      <w:pPr>
        <w:spacing w:after="0" w:line="6" w:lineRule="exact"/>
        <w:rPr>
          <w:sz w:val="20"/>
          <w:szCs w:val="20"/>
          <w:color w:val="auto"/>
        </w:rPr>
      </w:pPr>
    </w:p>
    <w:p>
      <w:pPr>
        <w:jc w:val="both"/>
        <w:ind w:left="1160" w:right="30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10.33</w:t>
      </w:r>
      <w:r>
        <w:rPr>
          <w:sz w:val="20"/>
          <w:szCs w:val="20"/>
          <w:color w:val="auto"/>
        </w:rPr>
        <w:tab/>
      </w:r>
      <w:r>
        <w:rPr>
          <w:rFonts w:ascii="Courier New" w:cs="Courier New" w:eastAsia="Courier New" w:hAnsi="Courier New"/>
          <w:sz w:val="18"/>
          <w:szCs w:val="18"/>
          <w:color w:val="auto"/>
        </w:rPr>
        <w:t>Note, dated June 1, 1989, between the Company and UNUM Life Insurance Company of America. (10)</w:t>
      </w:r>
    </w:p>
    <w:p>
      <w:pPr>
        <w:spacing w:after="0" w:line="6" w:lineRule="exact"/>
        <w:rPr>
          <w:sz w:val="20"/>
          <w:szCs w:val="20"/>
          <w:color w:val="auto"/>
        </w:rPr>
      </w:pPr>
    </w:p>
    <w:p>
      <w:pPr>
        <w:jc w:val="both"/>
        <w:ind w:left="1160" w:right="3039" w:hanging="1158"/>
        <w:spacing w:after="0" w:line="236" w:lineRule="auto"/>
        <w:tabs>
          <w:tab w:leader="none" w:pos="1140" w:val="left"/>
        </w:tabs>
        <w:rPr>
          <w:sz w:val="20"/>
          <w:szCs w:val="20"/>
          <w:color w:val="auto"/>
        </w:rPr>
      </w:pPr>
      <w:r>
        <w:rPr>
          <w:rFonts w:ascii="Courier New" w:cs="Courier New" w:eastAsia="Courier New" w:hAnsi="Courier New"/>
          <w:sz w:val="18"/>
          <w:szCs w:val="18"/>
          <w:color w:val="auto"/>
        </w:rPr>
        <w:t>10.34</w:t>
      </w:r>
      <w:r>
        <w:rPr>
          <w:sz w:val="20"/>
          <w:szCs w:val="20"/>
          <w:color w:val="auto"/>
        </w:rPr>
        <w:tab/>
      </w:r>
      <w:r>
        <w:rPr>
          <w:rFonts w:ascii="Courier New" w:cs="Courier New" w:eastAsia="Courier New" w:hAnsi="Courier New"/>
          <w:sz w:val="18"/>
          <w:szCs w:val="18"/>
          <w:color w:val="auto"/>
        </w:rPr>
        <w:t>Agency Agreement, dated November 21, 1991, between Amgen Manufacturing, Inc. and Citicorp Financial Services Corporation. (17)</w:t>
      </w:r>
    </w:p>
    <w:p>
      <w:pPr>
        <w:spacing w:after="0" w:line="6" w:lineRule="exact"/>
        <w:rPr>
          <w:sz w:val="20"/>
          <w:szCs w:val="20"/>
          <w:color w:val="auto"/>
        </w:rPr>
      </w:pPr>
    </w:p>
    <w:p>
      <w:pPr>
        <w:jc w:val="both"/>
        <w:ind w:left="1160" w:right="3039" w:hanging="1158"/>
        <w:spacing w:after="0" w:line="236" w:lineRule="auto"/>
        <w:tabs>
          <w:tab w:leader="none" w:pos="1140" w:val="left"/>
        </w:tabs>
        <w:rPr>
          <w:sz w:val="20"/>
          <w:szCs w:val="20"/>
          <w:color w:val="auto"/>
        </w:rPr>
      </w:pPr>
      <w:r>
        <w:rPr>
          <w:rFonts w:ascii="Courier New" w:cs="Courier New" w:eastAsia="Courier New" w:hAnsi="Courier New"/>
          <w:sz w:val="18"/>
          <w:szCs w:val="18"/>
          <w:color w:val="auto"/>
        </w:rPr>
        <w:t>10.35</w:t>
      </w:r>
      <w:r>
        <w:rPr>
          <w:sz w:val="20"/>
          <w:szCs w:val="20"/>
          <w:color w:val="auto"/>
        </w:rPr>
        <w:tab/>
      </w:r>
      <w:r>
        <w:rPr>
          <w:rFonts w:ascii="Courier New" w:cs="Courier New" w:eastAsia="Courier New" w:hAnsi="Courier New"/>
          <w:sz w:val="18"/>
          <w:szCs w:val="18"/>
          <w:color w:val="auto"/>
        </w:rPr>
        <w:t>Agency Agreement, dated May 21, 1992, between Amgen Manufacturing, Inc. and Citicorp Financial Services Corporation. (17)</w:t>
      </w:r>
    </w:p>
    <w:p>
      <w:pPr>
        <w:spacing w:after="0" w:line="6" w:lineRule="exact"/>
        <w:rPr>
          <w:sz w:val="20"/>
          <w:szCs w:val="20"/>
          <w:color w:val="auto"/>
        </w:rPr>
      </w:pPr>
    </w:p>
    <w:p>
      <w:pPr>
        <w:jc w:val="both"/>
        <w:ind w:left="1160" w:right="3039" w:hanging="1158"/>
        <w:spacing w:after="0" w:line="268" w:lineRule="auto"/>
        <w:tabs>
          <w:tab w:leader="none" w:pos="1140" w:val="left"/>
        </w:tabs>
        <w:rPr>
          <w:sz w:val="20"/>
          <w:szCs w:val="20"/>
          <w:color w:val="auto"/>
        </w:rPr>
      </w:pPr>
      <w:r>
        <w:rPr>
          <w:rFonts w:ascii="Courier New" w:cs="Courier New" w:eastAsia="Courier New" w:hAnsi="Courier New"/>
          <w:sz w:val="18"/>
          <w:szCs w:val="18"/>
          <w:color w:val="auto"/>
        </w:rPr>
        <w:t>10.36</w:t>
      </w:r>
      <w:r>
        <w:rPr>
          <w:sz w:val="20"/>
          <w:szCs w:val="20"/>
          <w:color w:val="auto"/>
        </w:rPr>
        <w:tab/>
      </w:r>
      <w:r>
        <w:rPr>
          <w:rFonts w:ascii="Courier New" w:cs="Courier New" w:eastAsia="Courier New" w:hAnsi="Courier New"/>
          <w:sz w:val="16"/>
          <w:szCs w:val="16"/>
          <w:color w:val="auto"/>
        </w:rPr>
        <w:t>Guaranty, dated July 29, 1992, by the Company in favor of Merck Sharp &amp; Dohme Quimica de Puerto Rico, Inc. (17)</w:t>
      </w:r>
    </w:p>
    <w:p>
      <w:pPr>
        <w:jc w:val="both"/>
        <w:ind w:left="1160" w:right="30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10.37</w:t>
      </w:r>
      <w:r>
        <w:rPr>
          <w:sz w:val="20"/>
          <w:szCs w:val="20"/>
          <w:color w:val="auto"/>
        </w:rPr>
        <w:tab/>
      </w:r>
      <w:r>
        <w:rPr>
          <w:rFonts w:ascii="Courier New" w:cs="Courier New" w:eastAsia="Courier New" w:hAnsi="Courier New"/>
          <w:sz w:val="18"/>
          <w:szCs w:val="18"/>
          <w:color w:val="auto"/>
        </w:rPr>
        <w:t>936 Promissory Note No. 01, dated December 11, 1991, issued by Amgen Manufacturing, Inc. (17)</w:t>
      </w:r>
    </w:p>
    <w:p>
      <w:pPr>
        <w:spacing w:after="0" w:line="6" w:lineRule="exact"/>
        <w:rPr>
          <w:sz w:val="20"/>
          <w:szCs w:val="20"/>
          <w:color w:val="auto"/>
        </w:rPr>
      </w:pPr>
    </w:p>
    <w:p>
      <w:pPr>
        <w:jc w:val="both"/>
        <w:ind w:left="1160" w:right="30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10.38</w:t>
      </w:r>
      <w:r>
        <w:rPr>
          <w:sz w:val="20"/>
          <w:szCs w:val="20"/>
          <w:color w:val="auto"/>
        </w:rPr>
        <w:tab/>
      </w:r>
      <w:r>
        <w:rPr>
          <w:rFonts w:ascii="Courier New" w:cs="Courier New" w:eastAsia="Courier New" w:hAnsi="Courier New"/>
          <w:sz w:val="18"/>
          <w:szCs w:val="18"/>
          <w:color w:val="auto"/>
        </w:rPr>
        <w:t>936 Promissory Note No. 02, dated December 11, 1991, issued by Amgen Manufacturing, Inc. (17)</w:t>
      </w:r>
    </w:p>
    <w:p>
      <w:pPr>
        <w:spacing w:after="0" w:line="6" w:lineRule="exact"/>
        <w:rPr>
          <w:sz w:val="20"/>
          <w:szCs w:val="20"/>
          <w:color w:val="auto"/>
        </w:rPr>
      </w:pPr>
    </w:p>
    <w:p>
      <w:pPr>
        <w:jc w:val="both"/>
        <w:ind w:left="1160" w:right="30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10.39</w:t>
      </w:r>
      <w:r>
        <w:rPr>
          <w:sz w:val="20"/>
          <w:szCs w:val="20"/>
          <w:color w:val="auto"/>
        </w:rPr>
        <w:tab/>
      </w:r>
      <w:r>
        <w:rPr>
          <w:rFonts w:ascii="Courier New" w:cs="Courier New" w:eastAsia="Courier New" w:hAnsi="Courier New"/>
          <w:sz w:val="18"/>
          <w:szCs w:val="18"/>
          <w:color w:val="auto"/>
        </w:rPr>
        <w:t>936 Promissory Note No. 001, dated July 29, 1992, issued by Amgen Manufacturing, Inc. (17)</w:t>
      </w:r>
    </w:p>
    <w:p>
      <w:pPr>
        <w:spacing w:after="0" w:line="6" w:lineRule="exact"/>
        <w:rPr>
          <w:sz w:val="20"/>
          <w:szCs w:val="20"/>
          <w:color w:val="auto"/>
        </w:rPr>
      </w:pPr>
    </w:p>
    <w:p>
      <w:pPr>
        <w:jc w:val="both"/>
        <w:ind w:left="1160" w:right="30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10.40</w:t>
      </w:r>
      <w:r>
        <w:rPr>
          <w:sz w:val="20"/>
          <w:szCs w:val="20"/>
          <w:color w:val="auto"/>
        </w:rPr>
        <w:tab/>
      </w:r>
      <w:r>
        <w:rPr>
          <w:rFonts w:ascii="Courier New" w:cs="Courier New" w:eastAsia="Courier New" w:hAnsi="Courier New"/>
          <w:sz w:val="18"/>
          <w:szCs w:val="18"/>
          <w:color w:val="auto"/>
        </w:rPr>
        <w:t>936 Promissory Note No. 002, dated July 29, 1992, issued by Amgen Manufacturing, Inc. (17)</w:t>
      </w:r>
    </w:p>
    <w:p>
      <w:pPr>
        <w:spacing w:after="0" w:line="6" w:lineRule="exact"/>
        <w:rPr>
          <w:sz w:val="20"/>
          <w:szCs w:val="20"/>
          <w:color w:val="auto"/>
        </w:rPr>
      </w:pPr>
    </w:p>
    <w:p>
      <w:pPr>
        <w:jc w:val="both"/>
        <w:ind w:left="1160" w:right="30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10.41</w:t>
      </w:r>
      <w:r>
        <w:rPr>
          <w:sz w:val="20"/>
          <w:szCs w:val="20"/>
          <w:color w:val="auto"/>
        </w:rPr>
        <w:tab/>
      </w:r>
      <w:r>
        <w:rPr>
          <w:rFonts w:ascii="Courier New" w:cs="Courier New" w:eastAsia="Courier New" w:hAnsi="Courier New"/>
          <w:sz w:val="18"/>
          <w:szCs w:val="18"/>
          <w:color w:val="auto"/>
        </w:rPr>
        <w:t>Guaranty, dated November 21, 1991, by the Company in favor of Citicorp Financial Services Corporation. (17)</w:t>
      </w:r>
    </w:p>
    <w:p>
      <w:pPr>
        <w:spacing w:after="0" w:line="6" w:lineRule="exact"/>
        <w:rPr>
          <w:sz w:val="20"/>
          <w:szCs w:val="20"/>
          <w:color w:val="auto"/>
        </w:rPr>
      </w:pPr>
    </w:p>
    <w:p>
      <w:pPr>
        <w:jc w:val="both"/>
        <w:ind w:left="1160" w:right="3039" w:hanging="1158"/>
        <w:spacing w:after="0" w:line="237" w:lineRule="auto"/>
        <w:tabs>
          <w:tab w:leader="none" w:pos="1140" w:val="left"/>
        </w:tabs>
        <w:rPr>
          <w:sz w:val="20"/>
          <w:szCs w:val="20"/>
          <w:color w:val="auto"/>
        </w:rPr>
      </w:pPr>
      <w:r>
        <w:rPr>
          <w:rFonts w:ascii="Courier New" w:cs="Courier New" w:eastAsia="Courier New" w:hAnsi="Courier New"/>
          <w:sz w:val="18"/>
          <w:szCs w:val="18"/>
          <w:color w:val="auto"/>
        </w:rPr>
        <w:t>10.42</w:t>
      </w:r>
      <w:r>
        <w:rPr>
          <w:sz w:val="20"/>
          <w:szCs w:val="20"/>
          <w:color w:val="auto"/>
        </w:rPr>
        <w:tab/>
      </w:r>
      <w:r>
        <w:rPr>
          <w:rFonts w:ascii="Courier New" w:cs="Courier New" w:eastAsia="Courier New" w:hAnsi="Courier New"/>
          <w:sz w:val="18"/>
          <w:szCs w:val="18"/>
          <w:color w:val="auto"/>
        </w:rPr>
        <w:t>First Amendment, dated as of June 16, 1992, to the Credit Agreement, dated as of November 15, 1991, among Amgen Inc., The Borrowing Subsidiaries therein named, the Banks therein named, Swiss Bank Corporation, as issuing Bank and Swiss Bank Corporation and Citicorp USA, Inc., as Co-Agents. (17)</w:t>
      </w:r>
    </w:p>
    <w:p>
      <w:pPr>
        <w:spacing w:after="0" w:line="7" w:lineRule="exact"/>
        <w:rPr>
          <w:sz w:val="20"/>
          <w:szCs w:val="20"/>
          <w:color w:val="auto"/>
        </w:rPr>
      </w:pPr>
    </w:p>
    <w:p>
      <w:pPr>
        <w:jc w:val="both"/>
        <w:ind w:left="1160" w:right="3039" w:hanging="1158"/>
        <w:spacing w:after="0" w:line="237" w:lineRule="auto"/>
        <w:tabs>
          <w:tab w:leader="none" w:pos="1140" w:val="left"/>
        </w:tabs>
        <w:rPr>
          <w:sz w:val="20"/>
          <w:szCs w:val="20"/>
          <w:color w:val="auto"/>
        </w:rPr>
      </w:pPr>
      <w:r>
        <w:rPr>
          <w:rFonts w:ascii="Courier New" w:cs="Courier New" w:eastAsia="Courier New" w:hAnsi="Courier New"/>
          <w:sz w:val="18"/>
          <w:szCs w:val="18"/>
          <w:color w:val="auto"/>
        </w:rPr>
        <w:t>10.43</w:t>
      </w:r>
      <w:r>
        <w:rPr>
          <w:sz w:val="20"/>
          <w:szCs w:val="20"/>
          <w:color w:val="auto"/>
        </w:rPr>
        <w:tab/>
      </w:r>
      <w:r>
        <w:rPr>
          <w:rFonts w:ascii="Courier New" w:cs="Courier New" w:eastAsia="Courier New" w:hAnsi="Courier New"/>
          <w:sz w:val="18"/>
          <w:szCs w:val="18"/>
          <w:color w:val="auto"/>
        </w:rPr>
        <w:t>Second Amendment, dated as of November 6, 1992, to the Credit Agreement, dated as of November 15, 1991, among Amgen Inc., The Borrowing Subsidiaries therein named, the Banks therein named, Swiss Bank Corporation, as issuing Bank and Swiss Bank Corporation and Citicorp USA, Inc., as Co-Agents. (17)</w:t>
      </w:r>
    </w:p>
    <w:p>
      <w:pPr>
        <w:spacing w:after="0" w:line="7" w:lineRule="exact"/>
        <w:rPr>
          <w:sz w:val="20"/>
          <w:szCs w:val="20"/>
          <w:color w:val="auto"/>
        </w:rPr>
      </w:pPr>
    </w:p>
    <w:p>
      <w:pPr>
        <w:jc w:val="both"/>
        <w:ind w:left="1160" w:right="3039" w:hanging="1158"/>
        <w:spacing w:after="0" w:line="237" w:lineRule="auto"/>
        <w:tabs>
          <w:tab w:leader="none" w:pos="1140" w:val="left"/>
        </w:tabs>
        <w:rPr>
          <w:sz w:val="20"/>
          <w:szCs w:val="20"/>
          <w:color w:val="auto"/>
        </w:rPr>
      </w:pPr>
      <w:r>
        <w:rPr>
          <w:rFonts w:ascii="Courier New" w:cs="Courier New" w:eastAsia="Courier New" w:hAnsi="Courier New"/>
          <w:sz w:val="18"/>
          <w:szCs w:val="18"/>
          <w:color w:val="auto"/>
        </w:rPr>
        <w:t>10.44</w:t>
      </w:r>
      <w:r>
        <w:rPr>
          <w:sz w:val="20"/>
          <w:szCs w:val="20"/>
          <w:color w:val="auto"/>
        </w:rPr>
        <w:tab/>
      </w:r>
      <w:r>
        <w:rPr>
          <w:rFonts w:ascii="Courier New" w:cs="Courier New" w:eastAsia="Courier New" w:hAnsi="Courier New"/>
          <w:sz w:val="18"/>
          <w:szCs w:val="18"/>
          <w:color w:val="auto"/>
        </w:rPr>
        <w:t>Lease and Agreement relating to Lease, dated March 27, 1986 and April 1, 1986, respectively, for 2003 Oak Terrace Lane between 2001 Hillcrest Partnership and the Company. (20)</w:t>
      </w:r>
    </w:p>
    <w:p>
      <w:pPr>
        <w:spacing w:after="0" w:line="5" w:lineRule="exact"/>
        <w:rPr>
          <w:sz w:val="20"/>
          <w:szCs w:val="20"/>
          <w:color w:val="auto"/>
        </w:rPr>
      </w:pPr>
    </w:p>
    <w:p>
      <w:pPr>
        <w:jc w:val="both"/>
        <w:ind w:left="1160" w:right="3039" w:hanging="1158"/>
        <w:spacing w:after="0" w:line="237" w:lineRule="auto"/>
        <w:tabs>
          <w:tab w:leader="none" w:pos="1140" w:val="left"/>
        </w:tabs>
        <w:rPr>
          <w:sz w:val="20"/>
          <w:szCs w:val="20"/>
          <w:color w:val="auto"/>
        </w:rPr>
      </w:pPr>
      <w:r>
        <w:rPr>
          <w:rFonts w:ascii="Courier New" w:cs="Courier New" w:eastAsia="Courier New" w:hAnsi="Courier New"/>
          <w:sz w:val="18"/>
          <w:szCs w:val="18"/>
          <w:color w:val="auto"/>
        </w:rPr>
        <w:t>10.45</w:t>
      </w:r>
      <w:r>
        <w:rPr>
          <w:sz w:val="20"/>
          <w:szCs w:val="20"/>
          <w:color w:val="auto"/>
        </w:rPr>
        <w:tab/>
      </w:r>
      <w:r>
        <w:rPr>
          <w:rFonts w:ascii="Courier New" w:cs="Courier New" w:eastAsia="Courier New" w:hAnsi="Courier New"/>
          <w:sz w:val="18"/>
          <w:szCs w:val="18"/>
          <w:color w:val="auto"/>
        </w:rPr>
        <w:t>Partnership Purchase Agreement, dated March 12, 1993, between the Company, Amgen Clinical Partners, L.P., Amgen Development Corporation, the Class A limited partners and the Class B limited partner. (18)</w:t>
      </w:r>
    </w:p>
    <w:p>
      <w:pPr>
        <w:spacing w:after="0"/>
        <w:tabs>
          <w:tab w:leader="none" w:pos="1140" w:val="left"/>
          <w:tab w:leader="none" w:pos="4400" w:val="left"/>
          <w:tab w:leader="none" w:pos="6180" w:val="left"/>
        </w:tabs>
        <w:rPr>
          <w:sz w:val="20"/>
          <w:szCs w:val="20"/>
          <w:color w:val="auto"/>
        </w:rPr>
      </w:pPr>
      <w:r>
        <w:rPr>
          <w:rFonts w:ascii="Courier New" w:cs="Courier New" w:eastAsia="Courier New" w:hAnsi="Courier New"/>
          <w:sz w:val="18"/>
          <w:szCs w:val="18"/>
          <w:color w:val="auto"/>
        </w:rPr>
        <w:t>10.46*</w:t>
      </w:r>
      <w:r>
        <w:rPr>
          <w:sz w:val="20"/>
          <w:szCs w:val="20"/>
          <w:color w:val="auto"/>
        </w:rPr>
        <w:tab/>
      </w:r>
      <w:r>
        <w:rPr>
          <w:rFonts w:ascii="Courier New" w:cs="Courier New" w:eastAsia="Courier New" w:hAnsi="Courier New"/>
          <w:sz w:val="18"/>
          <w:szCs w:val="18"/>
          <w:color w:val="auto"/>
        </w:rPr>
        <w:t>Amgen Supplemental Retirement</w:t>
        <w:tab/>
        <w:t>Plan dated June</w:t>
      </w:r>
      <w:r>
        <w:rPr>
          <w:sz w:val="20"/>
          <w:szCs w:val="20"/>
          <w:color w:val="auto"/>
        </w:rPr>
        <w:tab/>
      </w:r>
      <w:r>
        <w:rPr>
          <w:rFonts w:ascii="Courier New" w:cs="Courier New" w:eastAsia="Courier New" w:hAnsi="Courier New"/>
          <w:sz w:val="16"/>
          <w:szCs w:val="16"/>
          <w:color w:val="auto"/>
        </w:rPr>
        <w:t>1, 1993.</w:t>
      </w:r>
    </w:p>
    <w:p>
      <w:pPr>
        <w:ind w:left="1160"/>
        <w:spacing w:after="0" w:line="237" w:lineRule="auto"/>
        <w:rPr>
          <w:sz w:val="20"/>
          <w:szCs w:val="20"/>
          <w:color w:val="auto"/>
        </w:rPr>
      </w:pPr>
      <w:r>
        <w:rPr>
          <w:rFonts w:ascii="Courier New" w:cs="Courier New" w:eastAsia="Courier New" w:hAnsi="Courier New"/>
          <w:sz w:val="18"/>
          <w:szCs w:val="18"/>
          <w:color w:val="auto"/>
        </w:rPr>
        <w:t>(21)</w:t>
      </w:r>
    </w:p>
    <w:p>
      <w:pPr>
        <w:spacing w:after="0"/>
        <w:tabs>
          <w:tab w:leader="none" w:pos="1140" w:val="left"/>
          <w:tab w:leader="none" w:pos="3240" w:val="left"/>
          <w:tab w:leader="none" w:pos="4720" w:val="left"/>
          <w:tab w:leader="none" w:pos="6300" w:val="left"/>
        </w:tabs>
        <w:rPr>
          <w:sz w:val="20"/>
          <w:szCs w:val="20"/>
          <w:color w:val="auto"/>
        </w:rPr>
      </w:pPr>
      <w:r>
        <w:rPr>
          <w:rFonts w:ascii="Courier New" w:cs="Courier New" w:eastAsia="Courier New" w:hAnsi="Courier New"/>
          <w:sz w:val="18"/>
          <w:szCs w:val="18"/>
          <w:color w:val="auto"/>
        </w:rPr>
        <w:t>10.47</w:t>
      </w:r>
      <w:r>
        <w:rPr>
          <w:sz w:val="20"/>
          <w:szCs w:val="20"/>
          <w:color w:val="auto"/>
        </w:rPr>
        <w:tab/>
      </w:r>
      <w:r>
        <w:rPr>
          <w:rFonts w:ascii="Courier New" w:cs="Courier New" w:eastAsia="Courier New" w:hAnsi="Courier New"/>
          <w:sz w:val="18"/>
          <w:szCs w:val="18"/>
          <w:color w:val="auto"/>
        </w:rPr>
        <w:t>Promissory Note of</w:t>
        <w:tab/>
        <w:t>Mr. Kevin W.</w:t>
        <w:tab/>
        <w:t>Sharer, dated</w:t>
      </w:r>
      <w:r>
        <w:rPr>
          <w:sz w:val="20"/>
          <w:szCs w:val="20"/>
          <w:color w:val="auto"/>
        </w:rPr>
        <w:tab/>
      </w:r>
      <w:r>
        <w:rPr>
          <w:rFonts w:ascii="Courier New" w:cs="Courier New" w:eastAsia="Courier New" w:hAnsi="Courier New"/>
          <w:sz w:val="16"/>
          <w:szCs w:val="16"/>
          <w:color w:val="auto"/>
        </w:rPr>
        <w:t>June 4,</w:t>
      </w:r>
    </w:p>
    <w:p>
      <w:pPr>
        <w:ind w:left="1160"/>
        <w:spacing w:after="0" w:line="237" w:lineRule="auto"/>
        <w:rPr>
          <w:sz w:val="20"/>
          <w:szCs w:val="20"/>
          <w:color w:val="auto"/>
        </w:rPr>
      </w:pPr>
      <w:r>
        <w:rPr>
          <w:rFonts w:ascii="Courier New" w:cs="Courier New" w:eastAsia="Courier New" w:hAnsi="Courier New"/>
          <w:sz w:val="18"/>
          <w:szCs w:val="18"/>
          <w:color w:val="auto"/>
        </w:rPr>
        <w:t>1993. (21)</w:t>
      </w:r>
    </w:p>
    <w:p>
      <w:pPr>
        <w:sectPr>
          <w:pgSz w:w="11900" w:h="16838" w:orient="portrait"/>
          <w:cols w:equalWidth="0" w:num="1">
            <w:col w:w="10099"/>
          </w:cols>
          <w:pgMar w:left="360" w:top="514" w:right="1440" w:bottom="1440" w:gutter="0" w:footer="0" w:header="0"/>
        </w:sectPr>
      </w:pPr>
    </w:p>
    <w:bookmarkStart w:id="24" w:name="page25"/>
    <w:bookmarkEnd w:id="24"/>
    <w:p>
      <w:pPr>
        <w:jc w:val="both"/>
        <w:ind w:left="1280" w:right="3039" w:hanging="1158"/>
        <w:spacing w:after="0" w:line="237" w:lineRule="auto"/>
        <w:tabs>
          <w:tab w:leader="none" w:pos="1260" w:val="left"/>
        </w:tabs>
        <w:rPr>
          <w:sz w:val="20"/>
          <w:szCs w:val="20"/>
          <w:color w:val="auto"/>
        </w:rPr>
      </w:pPr>
      <w:r>
        <w:rPr>
          <w:rFonts w:ascii="Courier New" w:cs="Courier New" w:eastAsia="Courier New" w:hAnsi="Courier New"/>
          <w:sz w:val="18"/>
          <w:szCs w:val="18"/>
          <w:color w:val="auto"/>
        </w:rPr>
        <w:t>10.48</w:t>
      </w:r>
      <w:r>
        <w:rPr>
          <w:sz w:val="20"/>
          <w:szCs w:val="20"/>
          <w:color w:val="auto"/>
        </w:rPr>
        <w:tab/>
      </w:r>
      <w:r>
        <w:rPr>
          <w:rFonts w:ascii="Courier New" w:cs="Courier New" w:eastAsia="Courier New" w:hAnsi="Courier New"/>
          <w:sz w:val="18"/>
          <w:szCs w:val="18"/>
          <w:color w:val="auto"/>
        </w:rPr>
        <w:t>Amendment No. 3 dated June 25, 1993 to the Credit Agreement, dated November 15, 1991, among the Company, The Borrowing Subsidiaries therein named, the Banks therein named, the Swiss Bank Corporation, as issuing Bank and Swiss Bank Corporation and Citicorp USA, Inc., as Co-Agents. (21)</w:t>
      </w:r>
    </w:p>
    <w:p>
      <w:pPr>
        <w:spacing w:after="0" w:line="2" w:lineRule="exact"/>
        <w:rPr>
          <w:sz w:val="20"/>
          <w:szCs w:val="20"/>
          <w:color w:val="auto"/>
        </w:rPr>
      </w:pPr>
    </w:p>
    <w:p>
      <w:pPr>
        <w:ind w:left="120"/>
        <w:spacing w:after="0"/>
        <w:tabs>
          <w:tab w:leader="none" w:pos="1260" w:val="left"/>
          <w:tab w:leader="none" w:pos="4720" w:val="left"/>
        </w:tabs>
        <w:rPr>
          <w:sz w:val="20"/>
          <w:szCs w:val="20"/>
          <w:color w:val="auto"/>
        </w:rPr>
      </w:pPr>
      <w:r>
        <w:rPr>
          <w:rFonts w:ascii="Courier New" w:cs="Courier New" w:eastAsia="Courier New" w:hAnsi="Courier New"/>
          <w:sz w:val="18"/>
          <w:szCs w:val="18"/>
          <w:color w:val="auto"/>
        </w:rPr>
        <w:t>10.49</w:t>
      </w:r>
      <w:r>
        <w:rPr>
          <w:sz w:val="20"/>
          <w:szCs w:val="20"/>
          <w:color w:val="auto"/>
        </w:rPr>
        <w:tab/>
      </w:r>
      <w:r>
        <w:rPr>
          <w:rFonts w:ascii="Courier New" w:cs="Courier New" w:eastAsia="Courier New" w:hAnsi="Courier New"/>
          <w:sz w:val="18"/>
          <w:szCs w:val="18"/>
          <w:color w:val="auto"/>
        </w:rPr>
        <w:t>Promissory Note of Mr. Larry A.</w:t>
      </w:r>
      <w:r>
        <w:rPr>
          <w:sz w:val="20"/>
          <w:szCs w:val="20"/>
          <w:color w:val="auto"/>
        </w:rPr>
        <w:tab/>
      </w:r>
      <w:r>
        <w:rPr>
          <w:rFonts w:ascii="Courier New" w:cs="Courier New" w:eastAsia="Courier New" w:hAnsi="Courier New"/>
          <w:sz w:val="16"/>
          <w:szCs w:val="16"/>
          <w:color w:val="auto"/>
        </w:rPr>
        <w:t>May, dated February 24,</w:t>
      </w:r>
    </w:p>
    <w:p>
      <w:pPr>
        <w:ind w:left="1280"/>
        <w:spacing w:after="0" w:line="238" w:lineRule="auto"/>
        <w:rPr>
          <w:sz w:val="20"/>
          <w:szCs w:val="20"/>
          <w:color w:val="auto"/>
        </w:rPr>
      </w:pPr>
      <w:r>
        <w:rPr>
          <w:rFonts w:ascii="Courier New" w:cs="Courier New" w:eastAsia="Courier New" w:hAnsi="Courier New"/>
          <w:sz w:val="18"/>
          <w:szCs w:val="18"/>
          <w:color w:val="auto"/>
        </w:rPr>
        <w:t>1993. (22)</w:t>
      </w:r>
    </w:p>
    <w:p>
      <w:pPr>
        <w:spacing w:after="0" w:line="5" w:lineRule="exact"/>
        <w:rPr>
          <w:sz w:val="20"/>
          <w:szCs w:val="20"/>
          <w:color w:val="auto"/>
        </w:rPr>
      </w:pPr>
    </w:p>
    <w:p>
      <w:pPr>
        <w:jc w:val="both"/>
        <w:ind w:left="1280" w:right="3039" w:hanging="1158"/>
        <w:spacing w:after="0" w:line="235" w:lineRule="auto"/>
        <w:tabs>
          <w:tab w:leader="none" w:pos="1260" w:val="left"/>
        </w:tabs>
        <w:rPr>
          <w:sz w:val="20"/>
          <w:szCs w:val="20"/>
          <w:color w:val="auto"/>
        </w:rPr>
      </w:pPr>
      <w:r>
        <w:rPr>
          <w:rFonts w:ascii="Courier New" w:cs="Courier New" w:eastAsia="Courier New" w:hAnsi="Courier New"/>
          <w:sz w:val="18"/>
          <w:szCs w:val="18"/>
          <w:color w:val="auto"/>
        </w:rPr>
        <w:t>10.50*</w:t>
      </w:r>
      <w:r>
        <w:rPr>
          <w:sz w:val="20"/>
          <w:szCs w:val="20"/>
          <w:color w:val="auto"/>
        </w:rPr>
        <w:tab/>
      </w:r>
      <w:r>
        <w:rPr>
          <w:rFonts w:ascii="Courier New" w:cs="Courier New" w:eastAsia="Courier New" w:hAnsi="Courier New"/>
          <w:sz w:val="18"/>
          <w:szCs w:val="18"/>
          <w:color w:val="auto"/>
        </w:rPr>
        <w:t>First Amendment dated October 26, 1993 to the Company's Retirement and Savings Plan. (22)</w:t>
      </w: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10.51*</w:t>
      </w:r>
      <w:r>
        <w:rPr>
          <w:sz w:val="20"/>
          <w:szCs w:val="20"/>
          <w:color w:val="auto"/>
        </w:rPr>
        <w:tab/>
      </w:r>
      <w:r>
        <w:rPr>
          <w:rFonts w:ascii="Courier New" w:cs="Courier New" w:eastAsia="Courier New" w:hAnsi="Courier New"/>
          <w:sz w:val="16"/>
          <w:szCs w:val="16"/>
          <w:color w:val="auto"/>
        </w:rPr>
        <w:t>Amgen Performance Based Management Incentive Plan. (22)</w:t>
      </w:r>
    </w:p>
    <w:p>
      <w:pPr>
        <w:spacing w:after="0" w:line="4" w:lineRule="exact"/>
        <w:rPr>
          <w:sz w:val="20"/>
          <w:szCs w:val="20"/>
          <w:color w:val="auto"/>
        </w:rPr>
      </w:pPr>
    </w:p>
    <w:p>
      <w:pPr>
        <w:jc w:val="both"/>
        <w:ind w:left="1280" w:right="3039" w:hanging="1158"/>
        <w:spacing w:after="0" w:line="237" w:lineRule="auto"/>
        <w:tabs>
          <w:tab w:leader="none" w:pos="1260" w:val="left"/>
        </w:tabs>
        <w:rPr>
          <w:sz w:val="20"/>
          <w:szCs w:val="20"/>
          <w:color w:val="auto"/>
        </w:rPr>
      </w:pPr>
      <w:r>
        <w:rPr>
          <w:rFonts w:ascii="Courier New" w:cs="Courier New" w:eastAsia="Courier New" w:hAnsi="Courier New"/>
          <w:sz w:val="18"/>
          <w:szCs w:val="18"/>
          <w:color w:val="auto"/>
        </w:rPr>
        <w:t>10.52</w:t>
      </w:r>
      <w:r>
        <w:rPr>
          <w:sz w:val="20"/>
          <w:szCs w:val="20"/>
          <w:color w:val="auto"/>
        </w:rPr>
        <w:tab/>
      </w:r>
      <w:r>
        <w:rPr>
          <w:rFonts w:ascii="Courier New" w:cs="Courier New" w:eastAsia="Courier New" w:hAnsi="Courier New"/>
          <w:sz w:val="18"/>
          <w:szCs w:val="18"/>
          <w:color w:val="auto"/>
        </w:rPr>
        <w:t>Fourth Amendment, dated as of June 24, 1994, to the Credit Agreement, dated November 15, 1991, among the Company, The Borrowing Subsidiaries therein named, the Banks therein named, the Swiss Bank Corporation, as issuing Bank and Swiss Bank Corporation and Citicorp USA, Inc., as Co-Agents. (23)</w:t>
      </w:r>
    </w:p>
    <w:p>
      <w:pPr>
        <w:spacing w:after="0" w:line="7" w:lineRule="exact"/>
        <w:rPr>
          <w:sz w:val="20"/>
          <w:szCs w:val="20"/>
          <w:color w:val="auto"/>
        </w:rPr>
      </w:pPr>
    </w:p>
    <w:p>
      <w:pPr>
        <w:jc w:val="both"/>
        <w:ind w:left="1280" w:right="3039" w:hanging="1158"/>
        <w:spacing w:after="0" w:line="236" w:lineRule="auto"/>
        <w:tabs>
          <w:tab w:leader="none" w:pos="1260" w:val="left"/>
        </w:tabs>
        <w:rPr>
          <w:sz w:val="20"/>
          <w:szCs w:val="20"/>
          <w:color w:val="auto"/>
        </w:rPr>
      </w:pPr>
      <w:r>
        <w:rPr>
          <w:rFonts w:ascii="Courier New" w:cs="Courier New" w:eastAsia="Courier New" w:hAnsi="Courier New"/>
          <w:sz w:val="18"/>
          <w:szCs w:val="18"/>
          <w:color w:val="auto"/>
        </w:rPr>
        <w:t>10.53</w:t>
      </w:r>
      <w:r>
        <w:rPr>
          <w:sz w:val="20"/>
          <w:szCs w:val="20"/>
          <w:color w:val="auto"/>
        </w:rPr>
        <w:tab/>
      </w:r>
      <w:r>
        <w:rPr>
          <w:rFonts w:ascii="Courier New" w:cs="Courier New" w:eastAsia="Courier New" w:hAnsi="Courier New"/>
          <w:sz w:val="18"/>
          <w:szCs w:val="18"/>
          <w:color w:val="auto"/>
        </w:rPr>
        <w:t>Agreement and Plan of Merger, dated as of November 17, 1994, among Amgen Inc., Amgen Acquisition Subsidiary, Inc. and Synergen, Inc. (24)</w:t>
      </w:r>
    </w:p>
    <w:p>
      <w:pPr>
        <w:spacing w:after="0" w:line="6" w:lineRule="exact"/>
        <w:rPr>
          <w:sz w:val="20"/>
          <w:szCs w:val="20"/>
          <w:color w:val="auto"/>
        </w:rPr>
      </w:pPr>
    </w:p>
    <w:p>
      <w:pPr>
        <w:jc w:val="both"/>
        <w:ind w:left="1280" w:right="3039" w:hanging="1158"/>
        <w:spacing w:after="0" w:line="236" w:lineRule="auto"/>
        <w:tabs>
          <w:tab w:leader="none" w:pos="1260" w:val="left"/>
        </w:tabs>
        <w:rPr>
          <w:sz w:val="20"/>
          <w:szCs w:val="20"/>
          <w:color w:val="auto"/>
        </w:rPr>
      </w:pPr>
      <w:r>
        <w:rPr>
          <w:rFonts w:ascii="Courier New" w:cs="Courier New" w:eastAsia="Courier New" w:hAnsi="Courier New"/>
          <w:sz w:val="18"/>
          <w:szCs w:val="18"/>
          <w:color w:val="auto"/>
        </w:rPr>
        <w:t>10.54</w:t>
      </w:r>
      <w:r>
        <w:rPr>
          <w:sz w:val="20"/>
          <w:szCs w:val="20"/>
          <w:color w:val="auto"/>
        </w:rPr>
        <w:tab/>
      </w:r>
      <w:r>
        <w:rPr>
          <w:rFonts w:ascii="Courier New" w:cs="Courier New" w:eastAsia="Courier New" w:hAnsi="Courier New"/>
          <w:sz w:val="18"/>
          <w:szCs w:val="18"/>
          <w:color w:val="auto"/>
        </w:rPr>
        <w:t>Third Amendment to Rights Agreement, dated as of February 21, 1995, between Amgen Inc. and American Stock Transfer Trust and Trust Company (25)</w:t>
      </w:r>
    </w:p>
    <w:p>
      <w:pPr>
        <w:spacing w:after="0" w:line="1" w:lineRule="exact"/>
        <w:rPr>
          <w:sz w:val="20"/>
          <w:szCs w:val="20"/>
          <w:color w:val="auto"/>
        </w:rPr>
      </w:pPr>
    </w:p>
    <w:p>
      <w:pPr>
        <w:ind w:left="1280" w:hanging="1167"/>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per share earnings.</w:t>
      </w:r>
    </w:p>
    <w:p>
      <w:pPr>
        <w:ind w:left="1280" w:hanging="1167"/>
        <w:spacing w:after="0" w:line="238" w:lineRule="auto"/>
        <w:tabs>
          <w:tab w:leader="none" w:pos="12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Management contract or compensatory plan or arrangement.</w:t>
      </w:r>
    </w:p>
    <w:p>
      <w:pPr>
        <w:spacing w:after="0" w:line="206" w:lineRule="exact"/>
        <w:rPr>
          <w:sz w:val="20"/>
          <w:szCs w:val="20"/>
          <w:color w:val="auto"/>
        </w:rPr>
      </w:pPr>
    </w:p>
    <w:p>
      <w:pPr>
        <w:jc w:val="both"/>
        <w:ind w:left="540" w:right="293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Annual Report on Form 10-K for the year ended March 31, 1984 on June 26, 1984 and incorporated herein by reference.</w:t>
      </w:r>
    </w:p>
    <w:p>
      <w:pPr>
        <w:spacing w:after="0" w:line="6" w:lineRule="exact"/>
        <w:rPr>
          <w:rFonts w:ascii="Courier New" w:cs="Courier New" w:eastAsia="Courier New" w:hAnsi="Courier New"/>
          <w:sz w:val="18"/>
          <w:szCs w:val="18"/>
          <w:color w:val="auto"/>
        </w:rPr>
      </w:pPr>
    </w:p>
    <w:p>
      <w:pPr>
        <w:jc w:val="both"/>
        <w:ind w:left="540" w:right="293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Quarterly Report on Form 10-Q for the quarter ended September 30, 1985 on November 14, 1985 and incorporated herein by reference.</w:t>
      </w:r>
    </w:p>
    <w:p>
      <w:pPr>
        <w:spacing w:after="0" w:line="6" w:lineRule="exact"/>
        <w:rPr>
          <w:rFonts w:ascii="Courier New" w:cs="Courier New" w:eastAsia="Courier New" w:hAnsi="Courier New"/>
          <w:sz w:val="18"/>
          <w:szCs w:val="18"/>
          <w:color w:val="auto"/>
        </w:rPr>
      </w:pPr>
    </w:p>
    <w:p>
      <w:pPr>
        <w:jc w:val="both"/>
        <w:ind w:left="540" w:right="293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Quarterly Report on Form 10-Q for the quarter ended December 31, 1985 on February 3, 1986 and incorporated herein by reference.</w:t>
      </w:r>
    </w:p>
    <w:p>
      <w:pPr>
        <w:spacing w:after="0" w:line="6" w:lineRule="exact"/>
        <w:rPr>
          <w:rFonts w:ascii="Courier New" w:cs="Courier New" w:eastAsia="Courier New" w:hAnsi="Courier New"/>
          <w:sz w:val="18"/>
          <w:szCs w:val="18"/>
          <w:color w:val="auto"/>
        </w:rPr>
      </w:pPr>
    </w:p>
    <w:p>
      <w:pPr>
        <w:jc w:val="both"/>
        <w:ind w:left="540" w:right="293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Amendment No. 1 to Form S-1 Registration Statement (Registration No. 33-3069) on March 11, 1986 and incorporated herein by reference.</w:t>
      </w:r>
    </w:p>
    <w:p>
      <w:pPr>
        <w:spacing w:after="0" w:line="6" w:lineRule="exact"/>
        <w:rPr>
          <w:rFonts w:ascii="Courier New" w:cs="Courier New" w:eastAsia="Courier New" w:hAnsi="Courier New"/>
          <w:sz w:val="18"/>
          <w:szCs w:val="18"/>
          <w:color w:val="auto"/>
        </w:rPr>
      </w:pPr>
    </w:p>
    <w:p>
      <w:pPr>
        <w:ind w:left="540" w:right="293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Form 10-K Annual Report for the year ended March 31, 1987 on May 18, 1987 and incorporated herein by reference.</w:t>
      </w:r>
    </w:p>
    <w:p>
      <w:pPr>
        <w:spacing w:after="0" w:line="6" w:lineRule="exact"/>
        <w:rPr>
          <w:rFonts w:ascii="Courier New" w:cs="Courier New" w:eastAsia="Courier New" w:hAnsi="Courier New"/>
          <w:sz w:val="18"/>
          <w:szCs w:val="18"/>
          <w:color w:val="auto"/>
        </w:rPr>
      </w:pPr>
    </w:p>
    <w:p>
      <w:pPr>
        <w:jc w:val="both"/>
        <w:ind w:left="540" w:right="293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Quarterly Report on Form 10-Q for the quarter ended June 30, 1987 on August 12, 1987 and incorporated herein by reference.</w:t>
      </w:r>
    </w:p>
    <w:p>
      <w:pPr>
        <w:spacing w:after="0" w:line="6" w:lineRule="exact"/>
        <w:rPr>
          <w:rFonts w:ascii="Courier New" w:cs="Courier New" w:eastAsia="Courier New" w:hAnsi="Courier New"/>
          <w:sz w:val="18"/>
          <w:szCs w:val="18"/>
          <w:color w:val="auto"/>
        </w:rPr>
      </w:pPr>
    </w:p>
    <w:p>
      <w:pPr>
        <w:jc w:val="both"/>
        <w:ind w:left="540" w:right="293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Form 8 amending the Quarterly Report on Form 10-Q for the quarter ended June 30, 1988 on August 25, 1988 and incorporated herein by reference.</w:t>
      </w:r>
    </w:p>
    <w:p>
      <w:pPr>
        <w:spacing w:after="0" w:line="6" w:lineRule="exact"/>
        <w:rPr>
          <w:rFonts w:ascii="Courier New" w:cs="Courier New" w:eastAsia="Courier New" w:hAnsi="Courier New"/>
          <w:sz w:val="18"/>
          <w:szCs w:val="18"/>
          <w:color w:val="auto"/>
        </w:rPr>
      </w:pPr>
    </w:p>
    <w:p>
      <w:pPr>
        <w:ind w:left="540" w:right="293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Form 8-K Current Report dated January 24, 1989 and incorporated herein by reference.</w:t>
      </w:r>
    </w:p>
    <w:p>
      <w:pPr>
        <w:spacing w:after="0" w:line="5" w:lineRule="exact"/>
        <w:rPr>
          <w:rFonts w:ascii="Courier New" w:cs="Courier New" w:eastAsia="Courier New" w:hAnsi="Courier New"/>
          <w:sz w:val="18"/>
          <w:szCs w:val="18"/>
          <w:color w:val="auto"/>
        </w:rPr>
      </w:pPr>
    </w:p>
    <w:p>
      <w:pPr>
        <w:jc w:val="both"/>
        <w:ind w:left="540" w:right="293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Annual Report on Form 10-K for the year ended March 31, 1989 on June 28, 1989 and incorporated herein by reference.</w:t>
      </w:r>
    </w:p>
    <w:p>
      <w:pPr>
        <w:sectPr>
          <w:pgSz w:w="11900" w:h="16838" w:orient="portrait"/>
          <w:cols w:equalWidth="0" w:num="1">
            <w:col w:w="10219"/>
          </w:cols>
          <w:pgMar w:left="240" w:top="520" w:right="1440" w:bottom="1440" w:gutter="0" w:footer="0" w:header="0"/>
        </w:sectPr>
      </w:pPr>
    </w:p>
    <w:bookmarkStart w:id="25" w:name="page26"/>
    <w:bookmarkEnd w:id="25"/>
    <w:p>
      <w:pPr>
        <w:jc w:val="both"/>
        <w:ind w:left="532" w:right="2939" w:hanging="532"/>
        <w:spacing w:after="0" w:line="236"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Quarterly Report on Form 10-Q for the quarter ended June 30, 1989 on August 14, 1989 and incorporated herein by reference.</w:t>
      </w:r>
    </w:p>
    <w:p>
      <w:pPr>
        <w:spacing w:after="0" w:line="6" w:lineRule="exact"/>
        <w:rPr>
          <w:rFonts w:ascii="Courier New" w:cs="Courier New" w:eastAsia="Courier New" w:hAnsi="Courier New"/>
          <w:sz w:val="18"/>
          <w:szCs w:val="18"/>
          <w:color w:val="auto"/>
        </w:rPr>
      </w:pPr>
    </w:p>
    <w:p>
      <w:pPr>
        <w:ind w:left="532" w:right="2939" w:hanging="532"/>
        <w:spacing w:after="0" w:line="23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Form 8-K Current Report dated January 22, 1991 and incorporated herein by reference.</w:t>
      </w:r>
    </w:p>
    <w:p>
      <w:pPr>
        <w:spacing w:after="0" w:line="5" w:lineRule="exact"/>
        <w:rPr>
          <w:rFonts w:ascii="Courier New" w:cs="Courier New" w:eastAsia="Courier New" w:hAnsi="Courier New"/>
          <w:sz w:val="18"/>
          <w:szCs w:val="18"/>
          <w:color w:val="auto"/>
        </w:rPr>
      </w:pPr>
    </w:p>
    <w:p>
      <w:pPr>
        <w:ind w:left="532" w:right="2939" w:hanging="532"/>
        <w:spacing w:after="0" w:line="23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Form 8-K Current Report dated April 12, 1991 and incorporated herein by reference.</w:t>
      </w:r>
    </w:p>
    <w:p>
      <w:pPr>
        <w:spacing w:after="0" w:line="5" w:lineRule="exact"/>
        <w:rPr>
          <w:rFonts w:ascii="Courier New" w:cs="Courier New" w:eastAsia="Courier New" w:hAnsi="Courier New"/>
          <w:sz w:val="18"/>
          <w:szCs w:val="18"/>
          <w:color w:val="auto"/>
        </w:rPr>
      </w:pPr>
    </w:p>
    <w:p>
      <w:pPr>
        <w:jc w:val="both"/>
        <w:ind w:left="532" w:right="2939" w:hanging="532"/>
        <w:spacing w:after="0" w:line="236"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Annual Report on Form 10-K for the year ended March 31, 1991 on July 1, 1991 and incorporated herein by reference.</w:t>
      </w:r>
    </w:p>
    <w:p>
      <w:pPr>
        <w:spacing w:after="0" w:line="6" w:lineRule="exact"/>
        <w:rPr>
          <w:rFonts w:ascii="Courier New" w:cs="Courier New" w:eastAsia="Courier New" w:hAnsi="Courier New"/>
          <w:sz w:val="18"/>
          <w:szCs w:val="18"/>
          <w:color w:val="auto"/>
        </w:rPr>
      </w:pPr>
    </w:p>
    <w:p>
      <w:pPr>
        <w:ind w:left="532" w:right="2939" w:hanging="532"/>
        <w:spacing w:after="0" w:line="23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Form 8-K Current Report dated July 24, 1991 and incorporated herein by reference.</w:t>
      </w:r>
    </w:p>
    <w:p>
      <w:pPr>
        <w:spacing w:after="0" w:line="5" w:lineRule="exact"/>
        <w:rPr>
          <w:rFonts w:ascii="Courier New" w:cs="Courier New" w:eastAsia="Courier New" w:hAnsi="Courier New"/>
          <w:sz w:val="18"/>
          <w:szCs w:val="18"/>
          <w:color w:val="auto"/>
        </w:rPr>
      </w:pPr>
    </w:p>
    <w:p>
      <w:pPr>
        <w:ind w:left="532" w:right="2939" w:hanging="532"/>
        <w:spacing w:after="0" w:line="23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Form S-3 Registration Statement dated December 19, 1991 and incorporated herein by reference.</w:t>
      </w:r>
    </w:p>
    <w:p>
      <w:pPr>
        <w:spacing w:after="0" w:line="5" w:lineRule="exact"/>
        <w:rPr>
          <w:rFonts w:ascii="Courier New" w:cs="Courier New" w:eastAsia="Courier New" w:hAnsi="Courier New"/>
          <w:sz w:val="18"/>
          <w:szCs w:val="18"/>
          <w:color w:val="auto"/>
        </w:rPr>
      </w:pPr>
    </w:p>
    <w:p>
      <w:pPr>
        <w:jc w:val="both"/>
        <w:ind w:left="532" w:right="2939" w:hanging="532"/>
        <w:spacing w:after="0" w:line="236"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Annual Report on Form 10-K for the year ended December 31, 1991 on March 30, 1992 and incorporated herein by reference.</w:t>
      </w:r>
    </w:p>
    <w:p>
      <w:pPr>
        <w:spacing w:after="0" w:line="6" w:lineRule="exact"/>
        <w:rPr>
          <w:rFonts w:ascii="Courier New" w:cs="Courier New" w:eastAsia="Courier New" w:hAnsi="Courier New"/>
          <w:sz w:val="18"/>
          <w:szCs w:val="18"/>
          <w:color w:val="auto"/>
        </w:rPr>
      </w:pPr>
    </w:p>
    <w:p>
      <w:pPr>
        <w:jc w:val="both"/>
        <w:ind w:left="532" w:right="2939" w:hanging="532"/>
        <w:spacing w:after="0" w:line="236"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Annual Report on Form 10-K for the year ended December 31, 1992 on March 30, 1993 and incorporated herein by reference.</w:t>
      </w:r>
    </w:p>
    <w:p>
      <w:pPr>
        <w:spacing w:after="0" w:line="6" w:lineRule="exact"/>
        <w:rPr>
          <w:rFonts w:ascii="Courier New" w:cs="Courier New" w:eastAsia="Courier New" w:hAnsi="Courier New"/>
          <w:sz w:val="18"/>
          <w:szCs w:val="18"/>
          <w:color w:val="auto"/>
        </w:rPr>
      </w:pPr>
    </w:p>
    <w:p>
      <w:pPr>
        <w:ind w:left="532" w:right="2939" w:hanging="532"/>
        <w:spacing w:after="0" w:line="23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Form 8-A dated March 31, 1993 and incorporated herein by reference.</w:t>
      </w:r>
    </w:p>
    <w:p>
      <w:pPr>
        <w:spacing w:after="0" w:line="5" w:lineRule="exact"/>
        <w:rPr>
          <w:rFonts w:ascii="Courier New" w:cs="Courier New" w:eastAsia="Courier New" w:hAnsi="Courier New"/>
          <w:sz w:val="18"/>
          <w:szCs w:val="18"/>
          <w:color w:val="auto"/>
        </w:rPr>
      </w:pPr>
    </w:p>
    <w:p>
      <w:pPr>
        <w:ind w:left="532" w:right="2939" w:hanging="532"/>
        <w:spacing w:after="0" w:line="268" w:lineRule="auto"/>
        <w:tabs>
          <w:tab w:leader="none" w:pos="53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Form 10-Q for the quarter ended March 31, 1993 on May 17, 1993 and incorporated herein by reference.</w:t>
      </w:r>
    </w:p>
    <w:p>
      <w:pPr>
        <w:jc w:val="both"/>
        <w:ind w:left="532" w:right="2939" w:hanging="532"/>
        <w:spacing w:after="0" w:line="236"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Form 10-Q for the quarter ended June 30, 1993 on August 16, 1993 and incorporated herein by reference.</w:t>
      </w:r>
    </w:p>
    <w:p>
      <w:pPr>
        <w:spacing w:after="0" w:line="6" w:lineRule="exact"/>
        <w:rPr>
          <w:rFonts w:ascii="Courier New" w:cs="Courier New" w:eastAsia="Courier New" w:hAnsi="Courier New"/>
          <w:sz w:val="18"/>
          <w:szCs w:val="18"/>
          <w:color w:val="auto"/>
        </w:rPr>
      </w:pPr>
    </w:p>
    <w:p>
      <w:pPr>
        <w:jc w:val="both"/>
        <w:ind w:left="532" w:right="2939" w:hanging="532"/>
        <w:spacing w:after="0" w:line="236"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Form 10-Q for the quarter ended September 30, 1993 on November 12, 1993 and incorporated herein by reference.</w:t>
      </w:r>
    </w:p>
    <w:p>
      <w:pPr>
        <w:spacing w:after="0" w:line="6" w:lineRule="exact"/>
        <w:rPr>
          <w:rFonts w:ascii="Courier New" w:cs="Courier New" w:eastAsia="Courier New" w:hAnsi="Courier New"/>
          <w:sz w:val="18"/>
          <w:szCs w:val="18"/>
          <w:color w:val="auto"/>
        </w:rPr>
      </w:pPr>
    </w:p>
    <w:p>
      <w:pPr>
        <w:jc w:val="both"/>
        <w:ind w:left="532" w:right="2939" w:hanging="532"/>
        <w:spacing w:after="0" w:line="236"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Annual Report on Form 10-K for the year ended December 31, 1993 on March 25, 1994 and incorporated herein by reference.</w:t>
      </w:r>
    </w:p>
    <w:p>
      <w:pPr>
        <w:spacing w:after="0" w:line="6" w:lineRule="exact"/>
        <w:rPr>
          <w:rFonts w:ascii="Courier New" w:cs="Courier New" w:eastAsia="Courier New" w:hAnsi="Courier New"/>
          <w:sz w:val="18"/>
          <w:szCs w:val="18"/>
          <w:color w:val="auto"/>
        </w:rPr>
      </w:pPr>
    </w:p>
    <w:p>
      <w:pPr>
        <w:ind w:left="532" w:right="2939" w:hanging="532"/>
        <w:spacing w:after="0" w:line="268" w:lineRule="auto"/>
        <w:tabs>
          <w:tab w:leader="none" w:pos="53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Form 10-Q for the ended September 30, 1994 on November 9, 1994 and incorporated herein by reference.</w:t>
      </w:r>
    </w:p>
    <w:p>
      <w:pPr>
        <w:jc w:val="both"/>
        <w:ind w:left="532" w:right="2939" w:hanging="532"/>
        <w:spacing w:after="0" w:line="236"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Form 8-K Current Report dated November 18, 1994 on December 2, 1994 and incorporated herein by reference.</w:t>
      </w:r>
    </w:p>
    <w:p>
      <w:pPr>
        <w:spacing w:after="0" w:line="6" w:lineRule="exact"/>
        <w:rPr>
          <w:rFonts w:ascii="Courier New" w:cs="Courier New" w:eastAsia="Courier New" w:hAnsi="Courier New"/>
          <w:sz w:val="18"/>
          <w:szCs w:val="18"/>
          <w:color w:val="auto"/>
        </w:rPr>
      </w:pPr>
    </w:p>
    <w:p>
      <w:pPr>
        <w:jc w:val="both"/>
        <w:ind w:left="532" w:right="2939" w:hanging="532"/>
        <w:spacing w:after="0" w:line="236"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Form 8-K Current Report dated February 21, 1995 on March 7, 1995 and incorporated herein by reference.</w:t>
      </w:r>
    </w:p>
    <w:p>
      <w:pPr>
        <w:sectPr>
          <w:pgSz w:w="11900" w:h="16838" w:orient="portrait"/>
          <w:cols w:equalWidth="0" w:num="1">
            <w:col w:w="10211"/>
          </w:cols>
          <w:pgMar w:left="248" w:top="520" w:right="1440" w:bottom="1440" w:gutter="0" w:footer="0" w:header="0"/>
        </w:sectPr>
      </w:pPr>
    </w:p>
    <w:bookmarkStart w:id="26" w:name="page27"/>
    <w:bookmarkEnd w:id="26"/>
    <w:p>
      <w:pPr>
        <w:jc w:val="both"/>
        <w:spacing w:after="0" w:line="236" w:lineRule="auto"/>
        <w:tabs>
          <w:tab w:leader="none" w:pos="532" w:val="left"/>
        </w:tabs>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jc w:val="right"/>
        <w:ind w:right="2939"/>
        <w:spacing w:after="0"/>
        <w:rPr>
          <w:sz w:val="20"/>
          <w:szCs w:val="20"/>
          <w:color w:val="auto"/>
        </w:rPr>
      </w:pPr>
      <w:r>
        <w:rPr>
          <w:rFonts w:ascii="Courier New" w:cs="Courier New" w:eastAsia="Courier New" w:hAnsi="Courier New"/>
          <w:sz w:val="18"/>
          <w:szCs w:val="18"/>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AMGEN INC.</w:t>
      </w:r>
    </w:p>
    <w:p>
      <w:pPr>
        <w:spacing w:after="0" w:line="20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COMPUTATION OF PER SHARE EARNINGS</w:t>
      </w:r>
    </w:p>
    <w:p>
      <w:pPr>
        <w:jc w:val="center"/>
        <w:ind w:right="2939"/>
        <w:spacing w:after="0" w:line="238" w:lineRule="auto"/>
        <w:rPr>
          <w:sz w:val="20"/>
          <w:szCs w:val="20"/>
          <w:color w:val="auto"/>
        </w:rPr>
      </w:pPr>
      <w:r>
        <w:rPr>
          <w:rFonts w:ascii="Courier New" w:cs="Courier New" w:eastAsia="Courier New" w:hAnsi="Courier New"/>
          <w:sz w:val="18"/>
          <w:szCs w:val="18"/>
          <w:color w:val="auto"/>
        </w:rPr>
        <w:t>PRIMARY COMPUTATION</w:t>
      </w:r>
    </w:p>
    <w:p>
      <w:pPr>
        <w:spacing w:after="0" w:line="20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(In thousands, except per share data)</w:t>
      </w:r>
    </w:p>
    <w:p>
      <w:pPr>
        <w:jc w:val="center"/>
        <w:ind w:right="293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80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jc w:val="right"/>
              <w:spacing w:after="0"/>
              <w:rPr>
                <w:sz w:val="20"/>
                <w:szCs w:val="20"/>
                <w:color w:val="auto"/>
              </w:rPr>
            </w:pPr>
            <w:r>
              <w:rPr>
                <w:rFonts w:ascii="Courier New" w:cs="Courier New" w:eastAsia="Courier New" w:hAnsi="Courier New"/>
                <w:sz w:val="18"/>
                <w:szCs w:val="18"/>
                <w:color w:val="auto"/>
                <w:w w:val="97"/>
              </w:rPr>
              <w:t>Net income...................................</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$108,624</w:t>
            </w:r>
          </w:p>
        </w:tc>
        <w:tc>
          <w:tcPr>
            <w:tcW w:w="1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$ 93,460</w:t>
            </w:r>
          </w:p>
        </w:tc>
      </w:tr>
      <w:tr>
        <w:trPr>
          <w:trHeight w:val="203"/>
        </w:trPr>
        <w:tc>
          <w:tcPr>
            <w:tcW w:w="480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jc w:val="right"/>
              <w:ind w:right="1132"/>
              <w:spacing w:after="0"/>
              <w:rPr>
                <w:sz w:val="20"/>
                <w:szCs w:val="20"/>
                <w:color w:val="auto"/>
              </w:rPr>
            </w:pPr>
            <w:r>
              <w:rPr>
                <w:rFonts w:ascii="Courier New" w:cs="Courier New" w:eastAsia="Courier New" w:hAnsi="Courier New"/>
                <w:sz w:val="18"/>
                <w:szCs w:val="18"/>
                <w:color w:val="auto"/>
                <w:w w:val="96"/>
              </w:rPr>
              <w:t>Applicable common and common stock</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00" w:type="dxa"/>
            <w:vAlign w:val="bottom"/>
          </w:tcPr>
          <w:p>
            <w:pPr>
              <w:jc w:val="right"/>
              <w:ind w:right="2592"/>
              <w:spacing w:after="0" w:line="203" w:lineRule="exact"/>
              <w:rPr>
                <w:sz w:val="20"/>
                <w:szCs w:val="20"/>
                <w:color w:val="auto"/>
              </w:rPr>
            </w:pPr>
            <w:r>
              <w:rPr>
                <w:rFonts w:ascii="Courier New" w:cs="Courier New" w:eastAsia="Courier New" w:hAnsi="Courier New"/>
                <w:sz w:val="18"/>
                <w:szCs w:val="18"/>
                <w:color w:val="auto"/>
              </w:rPr>
              <w:t>equivalent shares: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48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Weighted average shares of common stock</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 during the period............</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132,606</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133,961</w:t>
            </w:r>
          </w:p>
        </w:tc>
      </w:tr>
      <w:tr>
        <w:trPr>
          <w:trHeight w:val="405"/>
        </w:trPr>
        <w:tc>
          <w:tcPr>
            <w:tcW w:w="4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Incremental number of shares outstanding</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during the period resulting from the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assumed exercises of stock options and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warrants.................................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7,146</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7,410</w:t>
            </w:r>
          </w:p>
        </w:tc>
      </w:tr>
      <w:tr>
        <w:trPr>
          <w:trHeight w:val="203"/>
        </w:trPr>
        <w:tc>
          <w:tcPr>
            <w:tcW w:w="480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Weighted average shares of common stock and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stock equivalents outstanding during</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period.................................</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139,752</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141,371</w:t>
            </w:r>
          </w:p>
        </w:tc>
      </w:tr>
      <w:tr>
        <w:trPr>
          <w:trHeight w:val="203"/>
        </w:trPr>
        <w:tc>
          <w:tcPr>
            <w:tcW w:w="480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800" w:type="dxa"/>
            <w:vAlign w:val="bottom"/>
          </w:tcPr>
          <w:p>
            <w:pPr>
              <w:jc w:val="right"/>
              <w:spacing w:after="0"/>
              <w:rPr>
                <w:sz w:val="20"/>
                <w:szCs w:val="20"/>
                <w:color w:val="auto"/>
              </w:rPr>
            </w:pPr>
            <w:r>
              <w:rPr>
                <w:rFonts w:ascii="Courier New" w:cs="Courier New" w:eastAsia="Courier New" w:hAnsi="Courier New"/>
                <w:sz w:val="18"/>
                <w:szCs w:val="18"/>
                <w:color w:val="auto"/>
                <w:w w:val="97"/>
              </w:rPr>
              <w:t>Earnings per common share primary............</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.66</w:t>
            </w:r>
          </w:p>
        </w:tc>
      </w:tr>
      <w:tr>
        <w:trPr>
          <w:trHeight w:val="203"/>
        </w:trPr>
        <w:tc>
          <w:tcPr>
            <w:tcW w:w="480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77"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8"/>
          <w:szCs w:val="18"/>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AMGEN INC.</w:t>
      </w:r>
    </w:p>
    <w:p>
      <w:pPr>
        <w:spacing w:after="0" w:line="20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COMPUTATION OF PER SHARE EARNINGS</w:t>
      </w:r>
    </w:p>
    <w:p>
      <w:pPr>
        <w:jc w:val="center"/>
        <w:ind w:right="2939"/>
        <w:spacing w:after="0" w:line="238" w:lineRule="auto"/>
        <w:rPr>
          <w:sz w:val="20"/>
          <w:szCs w:val="20"/>
          <w:color w:val="auto"/>
        </w:rPr>
      </w:pPr>
      <w:r>
        <w:rPr>
          <w:rFonts w:ascii="Courier New" w:cs="Courier New" w:eastAsia="Courier New" w:hAnsi="Courier New"/>
          <w:sz w:val="18"/>
          <w:szCs w:val="18"/>
          <w:color w:val="auto"/>
        </w:rPr>
        <w:t>FULLY DILUTED COMPUTATION</w:t>
      </w:r>
    </w:p>
    <w:p>
      <w:pPr>
        <w:spacing w:after="0" w:line="20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(In thousands, except per share data)</w:t>
      </w:r>
    </w:p>
    <w:p>
      <w:pPr>
        <w:jc w:val="center"/>
        <w:ind w:right="293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80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jc w:val="right"/>
              <w:spacing w:after="0"/>
              <w:rPr>
                <w:sz w:val="20"/>
                <w:szCs w:val="20"/>
                <w:color w:val="auto"/>
              </w:rPr>
            </w:pPr>
            <w:r>
              <w:rPr>
                <w:rFonts w:ascii="Courier New" w:cs="Courier New" w:eastAsia="Courier New" w:hAnsi="Courier New"/>
                <w:sz w:val="18"/>
                <w:szCs w:val="18"/>
                <w:color w:val="auto"/>
                <w:w w:val="97"/>
              </w:rPr>
              <w:t>Net income...................................</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$108,624</w:t>
            </w:r>
          </w:p>
        </w:tc>
        <w:tc>
          <w:tcPr>
            <w:tcW w:w="1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$ 93,460</w:t>
            </w:r>
          </w:p>
        </w:tc>
      </w:tr>
      <w:tr>
        <w:trPr>
          <w:trHeight w:val="203"/>
        </w:trPr>
        <w:tc>
          <w:tcPr>
            <w:tcW w:w="480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jc w:val="right"/>
              <w:ind w:right="1132"/>
              <w:spacing w:after="0"/>
              <w:rPr>
                <w:sz w:val="20"/>
                <w:szCs w:val="20"/>
                <w:color w:val="auto"/>
              </w:rPr>
            </w:pPr>
            <w:r>
              <w:rPr>
                <w:rFonts w:ascii="Courier New" w:cs="Courier New" w:eastAsia="Courier New" w:hAnsi="Courier New"/>
                <w:sz w:val="18"/>
                <w:szCs w:val="18"/>
                <w:color w:val="auto"/>
                <w:w w:val="96"/>
              </w:rPr>
              <w:t>Applicable common and common stock</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00" w:type="dxa"/>
            <w:vAlign w:val="bottom"/>
          </w:tcPr>
          <w:p>
            <w:pPr>
              <w:jc w:val="right"/>
              <w:ind w:right="2592"/>
              <w:spacing w:after="0" w:line="203" w:lineRule="exact"/>
              <w:rPr>
                <w:sz w:val="20"/>
                <w:szCs w:val="20"/>
                <w:color w:val="auto"/>
              </w:rPr>
            </w:pPr>
            <w:r>
              <w:rPr>
                <w:rFonts w:ascii="Courier New" w:cs="Courier New" w:eastAsia="Courier New" w:hAnsi="Courier New"/>
                <w:sz w:val="18"/>
                <w:szCs w:val="18"/>
                <w:color w:val="auto"/>
              </w:rPr>
              <w:t>equivalent shares: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48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Weighted average shares of common stock</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 during the period............</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132,606</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133,961</w:t>
            </w:r>
          </w:p>
        </w:tc>
      </w:tr>
      <w:tr>
        <w:trPr>
          <w:trHeight w:val="405"/>
        </w:trPr>
        <w:tc>
          <w:tcPr>
            <w:tcW w:w="4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Incremental number of shares outstanding</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during the period resulting from the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assumed exercises of stock options and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warrants.................................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7,525</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7,410</w:t>
            </w:r>
          </w:p>
        </w:tc>
      </w:tr>
      <w:tr>
        <w:trPr>
          <w:trHeight w:val="203"/>
        </w:trPr>
        <w:tc>
          <w:tcPr>
            <w:tcW w:w="480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Weighted average shares of common stock and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stock equivalents outstanding during</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period.................................</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140,131</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141,371</w:t>
            </w:r>
          </w:p>
        </w:tc>
      </w:tr>
      <w:tr>
        <w:trPr>
          <w:trHeight w:val="203"/>
        </w:trPr>
        <w:tc>
          <w:tcPr>
            <w:tcW w:w="480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jc w:val="right"/>
              <w:spacing w:after="0"/>
              <w:rPr>
                <w:sz w:val="20"/>
                <w:szCs w:val="20"/>
                <w:color w:val="auto"/>
              </w:rPr>
            </w:pPr>
            <w:r>
              <w:rPr>
                <w:rFonts w:ascii="Courier New" w:cs="Courier New" w:eastAsia="Courier New" w:hAnsi="Courier New"/>
                <w:sz w:val="18"/>
                <w:szCs w:val="18"/>
                <w:color w:val="auto"/>
                <w:w w:val="97"/>
              </w:rPr>
              <w:t>Earnings per common share fully diluted......</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.66</w:t>
            </w:r>
          </w:p>
        </w:tc>
      </w:tr>
      <w:tr>
        <w:trPr>
          <w:trHeight w:val="203"/>
        </w:trPr>
        <w:tc>
          <w:tcPr>
            <w:tcW w:w="480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0" w:gutter="0" w:footer="0" w:header="0"/>
        </w:sectPr>
      </w:pPr>
    </w:p>
    <w:bookmarkStart w:id="28" w:name="page29"/>
    <w:bookmarkEnd w:id="28"/>
    <w:p>
      <w:pPr>
        <w:jc w:val="right"/>
        <w:spacing w:after="0" w:line="203"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rFonts w:ascii="Courier New" w:cs="Courier New" w:eastAsia="Courier New" w:hAnsi="Courier New"/>
          <w:sz w:val="16"/>
          <w:szCs w:val="16"/>
          <w:color w:val="auto"/>
        </w:rPr>
        <w:t>WARNING: THE EDGAR SYSTEM ENCOUNTERED ERROR(S) WHILE PROCESSING THIS SCHEDULE.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w:t>
      </w:r>
    </w:p>
    <w:p>
      <w:pPr>
        <w:ind w:left="120"/>
        <w:spacing w:after="0" w:line="238" w:lineRule="auto"/>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QTR-1</w:t>
      </w:r>
    </w:p>
    <w:p>
      <w:pPr>
        <w:ind w:left="2740"/>
        <w:spacing w:after="0" w:line="238" w:lineRule="auto"/>
        <w:rPr>
          <w:sz w:val="20"/>
          <w:szCs w:val="20"/>
          <w:color w:val="auto"/>
        </w:rPr>
      </w:pPr>
      <w:r>
        <w:rPr>
          <w:rFonts w:ascii="Courier New" w:cs="Courier New" w:eastAsia="Courier New" w:hAnsi="Courier New"/>
          <w:sz w:val="18"/>
          <w:szCs w:val="18"/>
          <w:color w:val="auto"/>
        </w:rPr>
        <w:t>DEC-31-1995</w:t>
      </w:r>
    </w:p>
    <w:p>
      <w:pPr>
        <w:ind w:left="3280"/>
        <w:spacing w:after="0"/>
        <w:rPr>
          <w:sz w:val="20"/>
          <w:szCs w:val="20"/>
          <w:color w:val="auto"/>
        </w:rPr>
      </w:pPr>
      <w:r>
        <w:rPr>
          <w:rFonts w:ascii="Courier New" w:cs="Courier New" w:eastAsia="Courier New" w:hAnsi="Courier New"/>
          <w:sz w:val="18"/>
          <w:szCs w:val="18"/>
          <w:color w:val="auto"/>
        </w:rPr>
        <w:t>MAR-31-1995</w:t>
      </w:r>
    </w:p>
    <w:p>
      <w:pPr>
        <w:ind w:left="4320"/>
        <w:spacing w:after="0" w:line="237" w:lineRule="auto"/>
        <w:rPr>
          <w:sz w:val="20"/>
          <w:szCs w:val="20"/>
          <w:color w:val="auto"/>
        </w:rPr>
      </w:pPr>
      <w:r>
        <w:rPr>
          <w:rFonts w:ascii="Courier New" w:cs="Courier New" w:eastAsia="Courier New" w:hAnsi="Courier New"/>
          <w:sz w:val="18"/>
          <w:szCs w:val="18"/>
          <w:color w:val="auto"/>
        </w:rPr>
        <w:t>199,024</w:t>
      </w:r>
    </w:p>
    <w:p>
      <w:pPr>
        <w:ind w:left="3700"/>
        <w:spacing w:after="0" w:line="238" w:lineRule="auto"/>
        <w:rPr>
          <w:sz w:val="20"/>
          <w:szCs w:val="20"/>
          <w:color w:val="auto"/>
        </w:rPr>
      </w:pPr>
      <w:r>
        <w:rPr>
          <w:rFonts w:ascii="Courier New" w:cs="Courier New" w:eastAsia="Courier New" w:hAnsi="Courier New"/>
          <w:sz w:val="18"/>
          <w:szCs w:val="18"/>
          <w:color w:val="auto"/>
        </w:rPr>
        <w:t>568,359</w:t>
      </w:r>
    </w:p>
    <w:p>
      <w:pPr>
        <w:ind w:left="3580"/>
        <w:spacing w:after="0"/>
        <w:rPr>
          <w:sz w:val="20"/>
          <w:szCs w:val="20"/>
          <w:color w:val="auto"/>
        </w:rPr>
      </w:pPr>
      <w:r>
        <w:rPr>
          <w:rFonts w:ascii="Courier New" w:cs="Courier New" w:eastAsia="Courier New" w:hAnsi="Courier New"/>
          <w:sz w:val="18"/>
          <w:szCs w:val="18"/>
          <w:color w:val="auto"/>
        </w:rPr>
        <w:t>201,249</w:t>
      </w:r>
    </w:p>
    <w:p>
      <w:pPr>
        <w:ind w:left="3800"/>
        <w:spacing w:after="0" w:line="237" w:lineRule="auto"/>
        <w:rPr>
          <w:sz w:val="20"/>
          <w:szCs w:val="20"/>
          <w:color w:val="auto"/>
        </w:rPr>
      </w:pPr>
      <w:r>
        <w:rPr>
          <w:rFonts w:ascii="Courier New" w:cs="Courier New" w:eastAsia="Courier New" w:hAnsi="Courier New"/>
          <w:sz w:val="18"/>
          <w:szCs w:val="18"/>
          <w:color w:val="auto"/>
        </w:rPr>
        <w:t>12,121</w:t>
      </w:r>
    </w:p>
    <w:p>
      <w:pPr>
        <w:ind w:left="3900"/>
        <w:spacing w:after="0"/>
        <w:rPr>
          <w:sz w:val="20"/>
          <w:szCs w:val="20"/>
          <w:color w:val="auto"/>
        </w:rPr>
      </w:pPr>
      <w:r>
        <w:rPr>
          <w:rFonts w:ascii="Courier New" w:cs="Courier New" w:eastAsia="Courier New" w:hAnsi="Courier New"/>
          <w:sz w:val="18"/>
          <w:szCs w:val="18"/>
          <w:color w:val="auto"/>
        </w:rPr>
        <w:t>92,497</w:t>
      </w:r>
    </w:p>
    <w:p>
      <w:pPr>
        <w:ind w:left="3380"/>
        <w:spacing w:after="0" w:line="237" w:lineRule="auto"/>
        <w:rPr>
          <w:sz w:val="20"/>
          <w:szCs w:val="20"/>
          <w:color w:val="auto"/>
        </w:rPr>
      </w:pPr>
      <w:r>
        <w:rPr>
          <w:rFonts w:ascii="Courier New" w:cs="Courier New" w:eastAsia="Courier New" w:hAnsi="Courier New"/>
          <w:sz w:val="18"/>
          <w:szCs w:val="18"/>
          <w:color w:val="auto"/>
        </w:rPr>
        <w:t>49,746</w:t>
      </w:r>
    </w:p>
    <w:p>
      <w:pPr>
        <w:ind w:left="4320"/>
        <w:spacing w:after="0"/>
        <w:rPr>
          <w:sz w:val="20"/>
          <w:szCs w:val="20"/>
          <w:color w:val="auto"/>
        </w:rPr>
      </w:pPr>
      <w:r>
        <w:rPr>
          <w:rFonts w:ascii="Courier New" w:cs="Courier New" w:eastAsia="Courier New" w:hAnsi="Courier New"/>
          <w:sz w:val="18"/>
          <w:szCs w:val="18"/>
          <w:color w:val="auto"/>
        </w:rPr>
        <w:t>670,596</w:t>
      </w:r>
    </w:p>
    <w:p>
      <w:pPr>
        <w:ind w:left="3580"/>
        <w:spacing w:after="0" w:line="237" w:lineRule="auto"/>
        <w:rPr>
          <w:sz w:val="20"/>
          <w:szCs w:val="20"/>
          <w:color w:val="auto"/>
        </w:rPr>
      </w:pPr>
      <w:r>
        <w:rPr>
          <w:rFonts w:ascii="Courier New" w:cs="Courier New" w:eastAsia="Courier New" w:hAnsi="Courier New"/>
          <w:sz w:val="18"/>
          <w:szCs w:val="18"/>
          <w:color w:val="auto"/>
        </w:rPr>
        <w:t>19,683</w:t>
      </w:r>
    </w:p>
    <w:p>
      <w:pPr>
        <w:ind w:left="3280"/>
        <w:spacing w:after="0" w:line="238" w:lineRule="auto"/>
        <w:rPr>
          <w:sz w:val="20"/>
          <w:szCs w:val="20"/>
          <w:color w:val="auto"/>
        </w:rPr>
      </w:pPr>
      <w:r>
        <w:rPr>
          <w:rFonts w:ascii="Courier New" w:cs="Courier New" w:eastAsia="Courier New" w:hAnsi="Courier New"/>
          <w:sz w:val="18"/>
          <w:szCs w:val="18"/>
          <w:color w:val="auto"/>
        </w:rPr>
        <w:t>2,052,411</w:t>
      </w:r>
    </w:p>
    <w:p>
      <w:pPr>
        <w:ind w:left="2740"/>
        <w:spacing w:after="0"/>
        <w:rPr>
          <w:sz w:val="20"/>
          <w:szCs w:val="20"/>
          <w:color w:val="auto"/>
        </w:rPr>
      </w:pPr>
      <w:r>
        <w:rPr>
          <w:rFonts w:ascii="Courier New" w:cs="Courier New" w:eastAsia="Courier New" w:hAnsi="Courier New"/>
          <w:sz w:val="18"/>
          <w:szCs w:val="18"/>
          <w:color w:val="auto"/>
        </w:rPr>
        <w:t>533,943</w:t>
      </w:r>
    </w:p>
    <w:p>
      <w:pPr>
        <w:jc w:val="center"/>
        <w:ind w:right="419"/>
        <w:spacing w:after="0" w:line="237" w:lineRule="auto"/>
        <w:rPr>
          <w:sz w:val="20"/>
          <w:szCs w:val="20"/>
          <w:color w:val="auto"/>
        </w:rPr>
      </w:pPr>
      <w:r>
        <w:rPr>
          <w:rFonts w:ascii="Courier New" w:cs="Courier New" w:eastAsia="Courier New" w:hAnsi="Courier New"/>
          <w:sz w:val="18"/>
          <w:szCs w:val="18"/>
          <w:color w:val="auto"/>
        </w:rPr>
        <w:t>0</w:t>
      </w:r>
    </w:p>
    <w:p>
      <w:pPr>
        <w:ind w:left="4640"/>
        <w:spacing w:after="0"/>
        <w:rPr>
          <w:sz w:val="20"/>
          <w:szCs w:val="20"/>
          <w:color w:val="auto"/>
        </w:rPr>
      </w:pPr>
      <w:r>
        <w:rPr>
          <w:rFonts w:ascii="Courier New" w:cs="Courier New" w:eastAsia="Courier New" w:hAnsi="Courier New"/>
          <w:sz w:val="18"/>
          <w:szCs w:val="18"/>
          <w:color w:val="auto"/>
        </w:rPr>
        <w:t>13</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rPr>
          <w:sz w:val="20"/>
          <w:szCs w:val="20"/>
          <w:color w:val="auto"/>
        </w:rPr>
      </w:pPr>
      <w:r>
        <w:rPr>
          <w:rFonts w:ascii="Courier New" w:cs="Courier New" w:eastAsia="Courier New" w:hAnsi="Courier New"/>
          <w:sz w:val="18"/>
          <w:szCs w:val="18"/>
          <w:color w:val="auto"/>
        </w:rPr>
        <w:t>0</w:t>
      </w:r>
    </w:p>
    <w:p>
      <w:pPr>
        <w:ind w:left="3700"/>
        <w:spacing w:after="0" w:line="237" w:lineRule="auto"/>
        <w:rPr>
          <w:sz w:val="20"/>
          <w:szCs w:val="20"/>
          <w:color w:val="auto"/>
        </w:rPr>
      </w:pPr>
      <w:r>
        <w:rPr>
          <w:rFonts w:ascii="Courier New" w:cs="Courier New" w:eastAsia="Courier New" w:hAnsi="Courier New"/>
          <w:sz w:val="18"/>
          <w:szCs w:val="18"/>
          <w:color w:val="auto"/>
        </w:rPr>
        <w:t>1,337,250</w:t>
      </w:r>
    </w:p>
    <w:p>
      <w:pPr>
        <w:ind w:left="1800"/>
        <w:spacing w:after="0" w:line="238" w:lineRule="auto"/>
        <w:rPr>
          <w:sz w:val="20"/>
          <w:szCs w:val="20"/>
          <w:color w:val="auto"/>
        </w:rPr>
      </w:pPr>
      <w:r>
        <w:rPr>
          <w:rFonts w:ascii="Courier New" w:cs="Courier New" w:eastAsia="Courier New" w:hAnsi="Courier New"/>
          <w:sz w:val="18"/>
          <w:szCs w:val="18"/>
          <w:color w:val="auto"/>
        </w:rPr>
        <w:t>2,052,411</w:t>
      </w:r>
    </w:p>
    <w:p>
      <w:pPr>
        <w:ind w:left="4220"/>
        <w:spacing w:after="0"/>
        <w:rPr>
          <w:sz w:val="20"/>
          <w:szCs w:val="20"/>
          <w:color w:val="auto"/>
        </w:rPr>
      </w:pPr>
      <w:r>
        <w:rPr>
          <w:rFonts w:ascii="Courier New" w:cs="Courier New" w:eastAsia="Courier New" w:hAnsi="Courier New"/>
          <w:sz w:val="18"/>
          <w:szCs w:val="18"/>
          <w:color w:val="auto"/>
        </w:rPr>
        <w:t>411,237</w:t>
      </w:r>
    </w:p>
    <w:p>
      <w:pPr>
        <w:ind w:left="3280"/>
        <w:spacing w:after="0" w:line="237" w:lineRule="auto"/>
        <w:rPr>
          <w:sz w:val="20"/>
          <w:szCs w:val="20"/>
          <w:color w:val="auto"/>
        </w:rPr>
      </w:pPr>
      <w:r>
        <w:rPr>
          <w:rFonts w:ascii="Courier New" w:cs="Courier New" w:eastAsia="Courier New" w:hAnsi="Courier New"/>
          <w:sz w:val="18"/>
          <w:szCs w:val="18"/>
          <w:color w:val="auto"/>
        </w:rPr>
        <w:t>439,366</w:t>
      </w:r>
    </w:p>
    <w:p>
      <w:pPr>
        <w:jc w:val="right"/>
        <w:ind w:right="5059"/>
        <w:spacing w:after="0"/>
        <w:rPr>
          <w:sz w:val="20"/>
          <w:szCs w:val="20"/>
          <w:color w:val="auto"/>
        </w:rPr>
      </w:pPr>
      <w:r>
        <w:rPr>
          <w:rFonts w:ascii="Courier New" w:cs="Courier New" w:eastAsia="Courier New" w:hAnsi="Courier New"/>
          <w:sz w:val="18"/>
          <w:szCs w:val="18"/>
          <w:color w:val="auto"/>
        </w:rPr>
        <w:t>66,573</w:t>
      </w:r>
    </w:p>
    <w:p>
      <w:pPr>
        <w:jc w:val="center"/>
        <w:ind w:right="2319"/>
        <w:spacing w:after="0" w:line="237" w:lineRule="auto"/>
        <w:rPr>
          <w:sz w:val="20"/>
          <w:szCs w:val="20"/>
          <w:color w:val="auto"/>
        </w:rPr>
      </w:pPr>
      <w:r>
        <w:rPr>
          <w:rFonts w:ascii="Courier New" w:cs="Courier New" w:eastAsia="Courier New" w:hAnsi="Courier New"/>
          <w:sz w:val="18"/>
          <w:szCs w:val="18"/>
          <w:color w:val="auto"/>
        </w:rPr>
        <w:t>286,540</w:t>
      </w:r>
    </w:p>
    <w:p>
      <w:pPr>
        <w:jc w:val="center"/>
        <w:ind w:right="2319"/>
        <w:spacing w:after="0"/>
        <w:rPr>
          <w:sz w:val="20"/>
          <w:szCs w:val="20"/>
          <w:color w:val="auto"/>
        </w:rPr>
      </w:pPr>
      <w:r>
        <w:rPr>
          <w:rFonts w:ascii="Courier New" w:cs="Courier New" w:eastAsia="Courier New" w:hAnsi="Courier New"/>
          <w:sz w:val="18"/>
          <w:szCs w:val="18"/>
          <w:color w:val="auto"/>
        </w:rPr>
        <w:t>0</w:t>
      </w:r>
    </w:p>
    <w:p>
      <w:pPr>
        <w:jc w:val="center"/>
        <w:ind w:right="2319"/>
        <w:spacing w:after="0" w:line="237" w:lineRule="auto"/>
        <w:rPr>
          <w:sz w:val="20"/>
          <w:szCs w:val="20"/>
          <w:color w:val="auto"/>
        </w:rPr>
      </w:pPr>
      <w:r>
        <w:rPr>
          <w:rFonts w:ascii="Courier New" w:cs="Courier New" w:eastAsia="Courier New" w:hAnsi="Courier New"/>
          <w:sz w:val="18"/>
          <w:szCs w:val="18"/>
          <w:color w:val="auto"/>
        </w:rPr>
        <w:t>0</w:t>
      </w:r>
    </w:p>
    <w:p>
      <w:pPr>
        <w:ind w:left="3280"/>
        <w:spacing w:after="0"/>
        <w:rPr>
          <w:sz w:val="20"/>
          <w:szCs w:val="20"/>
          <w:color w:val="auto"/>
        </w:rPr>
      </w:pPr>
      <w:r>
        <w:rPr>
          <w:rFonts w:ascii="Courier New" w:cs="Courier New" w:eastAsia="Courier New" w:hAnsi="Courier New"/>
          <w:sz w:val="18"/>
          <w:szCs w:val="18"/>
          <w:color w:val="auto"/>
        </w:rPr>
        <w:t>3,784</w:t>
      </w:r>
    </w:p>
    <w:p>
      <w:pPr>
        <w:ind w:left="3380"/>
        <w:spacing w:after="0" w:line="237" w:lineRule="auto"/>
        <w:rPr>
          <w:sz w:val="20"/>
          <w:szCs w:val="20"/>
          <w:color w:val="auto"/>
        </w:rPr>
      </w:pPr>
      <w:r>
        <w:rPr>
          <w:rFonts w:ascii="Courier New" w:cs="Courier New" w:eastAsia="Courier New" w:hAnsi="Courier New"/>
          <w:sz w:val="18"/>
          <w:szCs w:val="18"/>
          <w:color w:val="auto"/>
        </w:rPr>
        <w:t>161,941</w:t>
      </w:r>
    </w:p>
    <w:p>
      <w:pPr>
        <w:ind w:left="3800"/>
        <w:spacing w:after="0" w:line="238" w:lineRule="auto"/>
        <w:rPr>
          <w:sz w:val="20"/>
          <w:szCs w:val="20"/>
          <w:color w:val="auto"/>
        </w:rPr>
      </w:pPr>
      <w:r>
        <w:rPr>
          <w:rFonts w:ascii="Courier New" w:cs="Courier New" w:eastAsia="Courier New" w:hAnsi="Courier New"/>
          <w:sz w:val="18"/>
          <w:szCs w:val="18"/>
          <w:color w:val="auto"/>
        </w:rPr>
        <w:t>53,317</w:t>
      </w:r>
    </w:p>
    <w:p>
      <w:pPr>
        <w:ind w:left="3580"/>
        <w:spacing w:after="0"/>
        <w:rPr>
          <w:sz w:val="20"/>
          <w:szCs w:val="20"/>
          <w:color w:val="auto"/>
        </w:rPr>
      </w:pPr>
      <w:r>
        <w:rPr>
          <w:rFonts w:ascii="Courier New" w:cs="Courier New" w:eastAsia="Courier New" w:hAnsi="Courier New"/>
          <w:sz w:val="18"/>
          <w:szCs w:val="18"/>
          <w:color w:val="auto"/>
        </w:rPr>
        <w:t>0</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ind w:left="3700"/>
        <w:spacing w:after="0"/>
        <w:rPr>
          <w:sz w:val="20"/>
          <w:szCs w:val="20"/>
          <w:color w:val="auto"/>
        </w:rPr>
      </w:pPr>
      <w:r>
        <w:rPr>
          <w:rFonts w:ascii="Courier New" w:cs="Courier New" w:eastAsia="Courier New" w:hAnsi="Courier New"/>
          <w:sz w:val="18"/>
          <w:szCs w:val="18"/>
          <w:color w:val="auto"/>
        </w:rPr>
        <w:t>108,624</w:t>
      </w:r>
    </w:p>
    <w:p>
      <w:pPr>
        <w:ind w:left="3900"/>
        <w:spacing w:after="0" w:line="237" w:lineRule="auto"/>
        <w:rPr>
          <w:sz w:val="20"/>
          <w:szCs w:val="20"/>
          <w:color w:val="auto"/>
        </w:rPr>
      </w:pPr>
      <w:r>
        <w:rPr>
          <w:rFonts w:ascii="Courier New" w:cs="Courier New" w:eastAsia="Courier New" w:hAnsi="Courier New"/>
          <w:sz w:val="18"/>
          <w:szCs w:val="18"/>
          <w:color w:val="auto"/>
        </w:rPr>
        <w:t>0.78</w:t>
      </w:r>
    </w:p>
    <w:p>
      <w:pPr>
        <w:ind w:left="3900"/>
        <w:spacing w:after="0" w:line="238" w:lineRule="auto"/>
        <w:rPr>
          <w:sz w:val="20"/>
          <w:szCs w:val="20"/>
          <w:color w:val="auto"/>
        </w:rPr>
      </w:pPr>
      <w:r>
        <w:rPr>
          <w:rFonts w:ascii="Courier New" w:cs="Courier New" w:eastAsia="Courier New" w:hAnsi="Courier New"/>
          <w:sz w:val="18"/>
          <w:szCs w:val="18"/>
          <w:color w:val="auto"/>
        </w:rPr>
        <w:t>0.78</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amp;"/>
      <w:numFmt w:val="bullet"/>
      <w:start w:val="1"/>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
      <w:numFmt w:val="bullet"/>
      <w:start w:val="1"/>
    </w:lvl>
    <w:lvl w:ilvl="1">
      <w:lvlJc w:val="left"/>
      <w:lvlText w:val="%2"/>
      <w:numFmt w:val="decimal"/>
      <w:start w:val="11"/>
    </w:lvl>
  </w:abstractNum>
  <w:abstractNum w:abstractNumId="8">
    <w:nsid w:val="4DB127F8"/>
    <w:multiLevelType w:val="hybridMultilevel"/>
    <w:lvl w:ilvl="0">
      <w:lvlJc w:val="left"/>
      <w:lvlText w:val="-"/>
      <w:numFmt w:val="bullet"/>
      <w:start w:val="1"/>
    </w:lvl>
    <w:lvl w:ilvl="1">
      <w:lvlJc w:val="left"/>
      <w:lvlText w:val="%2"/>
      <w:numFmt w:val="decimal"/>
      <w:start w:val="27"/>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2019-12-13T09:22:10Z</dcterms:created>
  <dcterms:modified xsi:type="dcterms:W3CDTF">2019-12-13T09:22:10Z</dcterms:modified>
</cp:coreProperties>
</file>