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29,296,381.00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29,596,119.00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29,596,119.00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Amgen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Amgen Center Drive, Thousand Oaks, CA 91320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32"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560"/>
        <w:spacing w:after="0" w:line="253" w:lineRule="auto"/>
        <w:rPr>
          <w:sz w:val="20"/>
          <w:szCs w:val="20"/>
          <w:color w:val="auto"/>
        </w:rPr>
      </w:pPr>
      <w:r>
        <w:rPr>
          <w:rFonts w:ascii="Times New Roman" w:cs="Times New Roman" w:eastAsia="Times New Roman" w:hAnsi="Times New Roman"/>
          <w:sz w:val="21"/>
          <w:szCs w:val="21"/>
          <w:color w:val="auto"/>
        </w:rPr>
        <w:t>29,596,119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29,596,119 shares or 5.5% of the 539,067,675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1"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29,296,381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29,596,119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1"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Senior Vice President and Associate General</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Counsel, Capital Research and Management</w:t>
      </w:r>
    </w:p>
    <w:p>
      <w:pPr>
        <w:sectPr>
          <w:pgSz w:w="11900" w:h="16871" w:orient="portrait"/>
          <w:cols w:equalWidth="0" w:num="1">
            <w:col w:w="11140"/>
          </w:cols>
          <w:pgMar w:left="360" w:top="111" w:right="399" w:bottom="0" w:gutter="0" w:footer="0" w:header="0"/>
          <w:type w:val="continuous"/>
        </w:sectPr>
      </w:pPr>
    </w:p>
    <w:bookmarkStart w:id="3" w:name="page4"/>
    <w:bookmarkEnd w:id="3"/>
    <w:p>
      <w:pPr>
        <w:ind w:left="5660"/>
        <w:spacing w:after="0"/>
        <w:rPr>
          <w:sz w:val="20"/>
          <w:szCs w:val="20"/>
          <w:color w:val="auto"/>
        </w:rPr>
      </w:pPr>
      <w:r>
        <w:rPr>
          <w:rFonts w:ascii="Times New Roman" w:cs="Times New Roman" w:eastAsia="Times New Roman" w:hAnsi="Times New Roman"/>
          <w:sz w:val="22"/>
          <w:szCs w:val="22"/>
          <w:color w:val="auto"/>
        </w:rPr>
        <w:t>Company</w:t>
      </w:r>
    </w:p>
    <w:p>
      <w:pPr>
        <w:spacing w:after="0" w:line="45"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2026-05-14T12:57:34Z</dcterms:created>
  <dcterms:modified xsi:type="dcterms:W3CDTF">2026-05-14T12:57:34Z</dcterms:modified>
</cp:coreProperties>
</file>