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-618490</wp:posOffset>
            </wp:positionV>
            <wp:extent cx="57785" cy="631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733425</wp:posOffset>
            </wp:positionV>
            <wp:extent cx="6995160" cy="55803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5580380"/>
                    </a:xfrm>
                    <a:prstGeom prst="rect">
                      <a:avLst/>
                    </a:prstGeom>
                    <a:noFill/>
                  </pic:spPr>
                </pic:pic>
              </a:graphicData>
            </a:graphic>
          </wp:anchor>
        </w:drawing>
      </w:r>
    </w:p>
    <w:p>
      <w:pPr>
        <w:spacing w:after="0" w:line="1208"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5"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Bradway Robert A</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ONE AMGEN CENTER DRIVE</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AMGEN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AMGN</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7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03/04/2026</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4" w:right="660" w:firstLine="4"/>
        <w:spacing w:after="0" w:line="253"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9" w:lineRule="exact"/>
        <w:rPr>
          <w:sz w:val="24"/>
          <w:szCs w:val="24"/>
          <w:color w:val="auto"/>
        </w:rPr>
      </w:pPr>
    </w:p>
    <w:p>
      <w:pPr>
        <w:ind w:left="516"/>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7"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16"/>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576"/>
        <w:spacing w:after="0"/>
        <w:rPr>
          <w:sz w:val="20"/>
          <w:szCs w:val="20"/>
          <w:color w:val="auto"/>
        </w:rPr>
      </w:pPr>
      <w:r>
        <w:rPr>
          <w:rFonts w:ascii="Times New Roman" w:cs="Times New Roman" w:eastAsia="Times New Roman" w:hAnsi="Times New Roman"/>
          <w:sz w:val="17"/>
          <w:szCs w:val="17"/>
          <w:color w:val="0000FF"/>
        </w:rPr>
        <w:t>Chairman, CEO and President</w:t>
      </w:r>
    </w:p>
    <w:p>
      <w:pPr>
        <w:spacing w:after="0" w:line="276" w:lineRule="exact"/>
        <w:rPr>
          <w:sz w:val="24"/>
          <w:szCs w:val="24"/>
          <w:color w:val="auto"/>
        </w:rPr>
      </w:pPr>
    </w:p>
    <w:p>
      <w:pPr>
        <w:sectPr>
          <w:pgSz w:w="11900" w:h="16838" w:orient="portrait"/>
          <w:cols w:equalWidth="0" w:num="3">
            <w:col w:w="3200" w:space="720"/>
            <w:col w:w="3104" w:space="720"/>
            <w:col w:w="3336"/>
          </w:cols>
          <w:pgMar w:left="460" w:top="216" w:right="359" w:bottom="1440" w:gutter="0" w:footer="0" w:header="0"/>
          <w:type w:val="continuous"/>
        </w:sectPr>
      </w:pPr>
    </w:p>
    <w:p>
      <w:pPr>
        <w:spacing w:after="0" w:line="11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40" w:type="dxa"/>
            <w:vAlign w:val="bottom"/>
            <w:gridSpan w:val="7"/>
          </w:tcPr>
          <w:p>
            <w:pPr>
              <w:jc w:val="right"/>
              <w:ind w:right="191"/>
              <w:spacing w:after="0"/>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10"/>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THOUSAND</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91320-1799</w:t>
            </w: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294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OAKS</w:t>
            </w:r>
          </w:p>
        </w:tc>
        <w:tc>
          <w:tcPr>
            <w:tcW w:w="62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9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294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98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29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1060" w:type="dxa"/>
            <w:vAlign w:val="bottom"/>
            <w:tcBorders>
              <w:bottom w:val="single" w:sz="8" w:color="9A9A9A"/>
            </w:tcBorders>
          </w:tcPr>
          <w:p>
            <w:pPr>
              <w:spacing w:after="0"/>
              <w:rPr>
                <w:sz w:val="3"/>
                <w:szCs w:val="3"/>
                <w:color w:val="auto"/>
              </w:rPr>
            </w:pPr>
          </w:p>
        </w:tc>
        <w:tc>
          <w:tcPr>
            <w:tcW w:w="1080" w:type="dxa"/>
            <w:vAlign w:val="bottom"/>
            <w:tcBorders>
              <w:bottom w:val="single" w:sz="8" w:color="9A9A9A"/>
            </w:tcBorders>
          </w:tcPr>
          <w:p>
            <w:pPr>
              <w:spacing w:after="0"/>
              <w:rPr>
                <w:sz w:val="3"/>
                <w:szCs w:val="3"/>
                <w:color w:val="auto"/>
              </w:rPr>
            </w:pPr>
          </w:p>
        </w:tc>
        <w:tc>
          <w:tcPr>
            <w:tcW w:w="160" w:type="dxa"/>
            <w:vAlign w:val="bottom"/>
            <w:tcBorders>
              <w:bottom w:val="single" w:sz="8" w:color="9A9A9A"/>
            </w:tcBorders>
          </w:tcPr>
          <w:p>
            <w:pPr>
              <w:spacing w:after="0"/>
              <w:rPr>
                <w:sz w:val="3"/>
                <w:szCs w:val="3"/>
                <w:color w:val="auto"/>
              </w:rPr>
            </w:pPr>
          </w:p>
        </w:tc>
        <w:tc>
          <w:tcPr>
            <w:tcW w:w="560" w:type="dxa"/>
            <w:vAlign w:val="bottom"/>
          </w:tcPr>
          <w:p>
            <w:pPr>
              <w:spacing w:after="0"/>
              <w:rPr>
                <w:sz w:val="3"/>
                <w:szCs w:val="3"/>
                <w:color w:val="auto"/>
              </w:rPr>
            </w:pPr>
          </w:p>
        </w:tc>
        <w:tc>
          <w:tcPr>
            <w:tcW w:w="98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vMerge w:val="restart"/>
          </w:tcPr>
          <w:p>
            <w:pPr>
              <w:spacing w:after="0"/>
              <w:rPr>
                <w:sz w:val="3"/>
                <w:szCs w:val="3"/>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9"/>
                <w:szCs w:val="9"/>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98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62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580" w:type="dxa"/>
            <w:vAlign w:val="bottom"/>
            <w:tcBorders>
              <w:bottom w:val="single" w:sz="8" w:color="2C2C2C"/>
            </w:tcBorders>
            <w:gridSpan w:val="3"/>
          </w:tcPr>
          <w:p>
            <w:pPr>
              <w:spacing w:after="0"/>
              <w:rPr>
                <w:sz w:val="10"/>
                <w:szCs w:val="10"/>
                <w:color w:val="auto"/>
              </w:rPr>
            </w:pPr>
          </w:p>
        </w:tc>
        <w:tc>
          <w:tcPr>
            <w:tcW w:w="2680" w:type="dxa"/>
            <w:vAlign w:val="bottom"/>
            <w:tcBorders>
              <w:bottom w:val="single" w:sz="8" w:color="2C2C2C"/>
            </w:tcBorders>
            <w:gridSpan w:val="5"/>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3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00" w:type="dxa"/>
            <w:vAlign w:val="bottom"/>
            <w:tcBorders>
              <w:bottom w:val="single" w:sz="8" w:color="2C2C2C"/>
            </w:tcBorders>
            <w:gridSpan w:val="3"/>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94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60"/>
              <w:spacing w:after="0"/>
              <w:rPr>
                <w:sz w:val="20"/>
                <w:szCs w:val="20"/>
                <w:color w:val="auto"/>
              </w:rPr>
            </w:pPr>
            <w:r>
              <w:rPr>
                <w:rFonts w:ascii="Arial" w:cs="Arial" w:eastAsia="Arial" w:hAnsi="Arial"/>
                <w:sz w:val="11"/>
                <w:szCs w:val="11"/>
                <w:b w:val="1"/>
                <w:bCs w:val="1"/>
                <w:color w:val="auto"/>
              </w:rPr>
              <w:t>2. Transaction</w:t>
            </w:r>
          </w:p>
        </w:tc>
        <w:tc>
          <w:tcPr>
            <w:tcW w:w="980" w:type="dxa"/>
            <w:vAlign w:val="bottom"/>
          </w:tcPr>
          <w:p>
            <w:pPr>
              <w:ind w:left="20"/>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2000" w:type="dxa"/>
            <w:vAlign w:val="bottom"/>
            <w:gridSpan w:val="5"/>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760"/>
              <w:spacing w:after="0"/>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80" w:type="dxa"/>
            <w:vAlign w:val="bottom"/>
          </w:tcPr>
          <w:p>
            <w:pPr>
              <w:ind w:left="20"/>
              <w:spacing w:after="0"/>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2000" w:type="dxa"/>
            <w:vAlign w:val="bottom"/>
            <w:gridSpan w:val="5"/>
          </w:tcPr>
          <w:p>
            <w:pPr>
              <w:ind w:left="10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00" w:type="dxa"/>
            <w:vAlign w:val="bottom"/>
            <w:gridSpan w:val="3"/>
          </w:tcPr>
          <w:p>
            <w:pPr>
              <w:ind w:left="760"/>
              <w:spacing w:after="0"/>
              <w:rPr>
                <w:sz w:val="20"/>
                <w:szCs w:val="20"/>
                <w:color w:val="auto"/>
              </w:rPr>
            </w:pPr>
            <w:r>
              <w:rPr>
                <w:rFonts w:ascii="Arial" w:cs="Arial" w:eastAsia="Arial" w:hAnsi="Arial"/>
                <w:sz w:val="11"/>
                <w:szCs w:val="11"/>
                <w:b w:val="1"/>
                <w:bCs w:val="1"/>
                <w:color w:val="auto"/>
              </w:rPr>
              <w:t>(Month/Day/Year)</w:t>
            </w:r>
          </w:p>
        </w:tc>
        <w:tc>
          <w:tcPr>
            <w:tcW w:w="980" w:type="dxa"/>
            <w:vAlign w:val="bottom"/>
          </w:tcPr>
          <w:p>
            <w:pPr>
              <w:ind w:left="20"/>
              <w:spacing w:after="0"/>
              <w:rPr>
                <w:sz w:val="20"/>
                <w:szCs w:val="20"/>
                <w:color w:val="auto"/>
              </w:rPr>
            </w:pPr>
            <w:r>
              <w:rPr>
                <w:rFonts w:ascii="Arial" w:cs="Arial" w:eastAsia="Arial" w:hAnsi="Arial"/>
                <w:sz w:val="11"/>
                <w:szCs w:val="11"/>
                <w:b w:val="1"/>
                <w:bCs w:val="1"/>
                <w:color w:val="auto"/>
              </w:rPr>
              <w:t>if any</w:t>
            </w:r>
          </w:p>
        </w:tc>
        <w:tc>
          <w:tcPr>
            <w:tcW w:w="40" w:type="dxa"/>
            <w:vAlign w:val="bottom"/>
          </w:tcPr>
          <w:p>
            <w:pPr>
              <w:spacing w:after="0"/>
              <w:rPr>
                <w:sz w:val="11"/>
                <w:szCs w:val="11"/>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80" w:type="dxa"/>
            <w:vAlign w:val="bottom"/>
          </w:tcPr>
          <w:p>
            <w:pPr>
              <w:ind w:left="2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98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b w:val="1"/>
                <w:bCs w:val="1"/>
                <w:color w:val="auto"/>
              </w:rPr>
              <w:t>(A) or</w:t>
            </w:r>
          </w:p>
        </w:tc>
        <w:tc>
          <w:tcPr>
            <w:tcW w:w="680" w:type="dxa"/>
            <w:vAlign w:val="bottom"/>
            <w:gridSpan w:val="2"/>
            <w:vMerge w:val="restart"/>
          </w:tcPr>
          <w:p>
            <w:pPr>
              <w:ind w:left="12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98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vMerge w:val="restart"/>
          </w:tcPr>
          <w:p>
            <w:pPr>
              <w:jc w:val="right"/>
              <w:ind w:right="151"/>
              <w:spacing w:after="0"/>
              <w:rPr>
                <w:sz w:val="20"/>
                <w:szCs w:val="20"/>
                <w:color w:val="auto"/>
              </w:rPr>
            </w:pPr>
            <w:r>
              <w:rPr>
                <w:rFonts w:ascii="Arial" w:cs="Arial" w:eastAsia="Arial" w:hAnsi="Arial"/>
                <w:sz w:val="11"/>
                <w:szCs w:val="11"/>
                <w:b w:val="1"/>
                <w:bCs w:val="1"/>
                <w:color w:val="auto"/>
              </w:rPr>
              <w:t>(D)</w:t>
            </w:r>
          </w:p>
        </w:tc>
        <w:tc>
          <w:tcPr>
            <w:tcW w:w="6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gridSpan w:val="3"/>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03/04/2026</w:t>
            </w:r>
          </w:p>
        </w:tc>
        <w:tc>
          <w:tcPr>
            <w:tcW w:w="9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0"/>
              <w:spacing w:after="0"/>
              <w:rPr>
                <w:sz w:val="20"/>
                <w:szCs w:val="20"/>
                <w:color w:val="auto"/>
              </w:rPr>
            </w:pPr>
            <w:r>
              <w:rPr>
                <w:rFonts w:ascii="Times New Roman" w:cs="Times New Roman" w:eastAsia="Times New Roman" w:hAnsi="Times New Roman"/>
                <w:sz w:val="13"/>
                <w:szCs w:val="13"/>
                <w:color w:val="0000FF"/>
              </w:rPr>
              <w:t>M</w:t>
            </w:r>
          </w:p>
        </w:tc>
        <w:tc>
          <w:tcPr>
            <w:tcW w:w="8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119,782</w:t>
            </w:r>
            <w:r>
              <w:rPr>
                <w:rFonts w:ascii="Times New Roman" w:cs="Times New Roman" w:eastAsia="Times New Roman" w:hAnsi="Times New Roman"/>
                <w:sz w:val="21"/>
                <w:szCs w:val="21"/>
                <w:color w:val="008000"/>
                <w:vertAlign w:val="superscript"/>
              </w:rPr>
              <w:t>(1)</w:t>
            </w:r>
          </w:p>
        </w:tc>
        <w:tc>
          <w:tcPr>
            <w:tcW w:w="520" w:type="dxa"/>
            <w:vAlign w:val="bottom"/>
            <w:tcBorders>
              <w:bottom w:val="single" w:sz="8" w:color="2C2C2C"/>
            </w:tcBorders>
          </w:tcPr>
          <w:p>
            <w:pPr>
              <w:jc w:val="right"/>
              <w:ind w:right="51"/>
              <w:spacing w:after="0"/>
              <w:rPr>
                <w:sz w:val="20"/>
                <w:szCs w:val="20"/>
                <w:color w:val="auto"/>
              </w:rPr>
            </w:pPr>
            <w:r>
              <w:rPr>
                <w:rFonts w:ascii="Times New Roman" w:cs="Times New Roman" w:eastAsia="Times New Roman" w:hAnsi="Times New Roman"/>
                <w:sz w:val="17"/>
                <w:szCs w:val="17"/>
                <w:color w:val="0000FF"/>
              </w:rPr>
              <w:t>A</w:t>
            </w:r>
          </w:p>
        </w:tc>
        <w:tc>
          <w:tcPr>
            <w:tcW w:w="680" w:type="dxa"/>
            <w:vAlign w:val="bottom"/>
            <w:tcBorders>
              <w:bottom w:val="single" w:sz="8" w:color="2C2C2C"/>
            </w:tcBorders>
            <w:gridSpan w:val="2"/>
          </w:tcPr>
          <w:p>
            <w:pPr>
              <w:ind w:left="12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156.35</w:t>
            </w: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7"/>
              </w:rPr>
              <w:t>576,928</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03/04/2026</w:t>
            </w:r>
          </w:p>
        </w:tc>
        <w:tc>
          <w:tcPr>
            <w:tcW w:w="9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20"/>
              <w:spacing w:after="0"/>
              <w:rPr>
                <w:sz w:val="20"/>
                <w:szCs w:val="20"/>
                <w:color w:val="auto"/>
              </w:rPr>
            </w:pPr>
            <w:r>
              <w:rPr>
                <w:rFonts w:ascii="Times New Roman" w:cs="Times New Roman" w:eastAsia="Times New Roman" w:hAnsi="Times New Roman"/>
                <w:sz w:val="13"/>
                <w:szCs w:val="13"/>
                <w:color w:val="0000FF"/>
                <w:w w:val="82"/>
              </w:rPr>
              <w:t>F</w:t>
            </w:r>
          </w:p>
        </w:tc>
        <w:tc>
          <w:tcPr>
            <w:tcW w:w="70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84,285</w:t>
            </w:r>
          </w:p>
        </w:tc>
        <w:tc>
          <w:tcPr>
            <w:tcW w:w="1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right"/>
              <w:ind w:right="51"/>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gridSpan w:val="2"/>
          </w:tcPr>
          <w:p>
            <w:pPr>
              <w:ind w:left="12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379.27</w:t>
            </w: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2"/>
              </w:rPr>
              <w:t>492,643</w:t>
            </w:r>
            <w:r>
              <w:rPr>
                <w:rFonts w:ascii="Times New Roman" w:cs="Times New Roman" w:eastAsia="Times New Roman" w:hAnsi="Times New Roman"/>
                <w:sz w:val="21"/>
                <w:szCs w:val="21"/>
                <w:color w:val="008000"/>
                <w:w w:val="92"/>
                <w:vertAlign w:val="superscript"/>
              </w:rPr>
              <w:t>(2)</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3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90,000</w:t>
            </w:r>
          </w:p>
        </w:tc>
        <w:tc>
          <w:tcPr>
            <w:tcW w:w="300" w:type="dxa"/>
            <w:vAlign w:val="bottom"/>
          </w:tcPr>
          <w:p>
            <w:pPr>
              <w:spacing w:after="0"/>
              <w:rPr>
                <w:sz w:val="21"/>
                <w:szCs w:val="21"/>
                <w:color w:val="auto"/>
              </w:rPr>
            </w:pPr>
          </w:p>
        </w:tc>
        <w:tc>
          <w:tcPr>
            <w:tcW w:w="6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98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GRAT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98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90,000</w:t>
            </w:r>
          </w:p>
        </w:tc>
        <w:tc>
          <w:tcPr>
            <w:tcW w:w="300" w:type="dxa"/>
            <w:vAlign w:val="bottom"/>
          </w:tcPr>
          <w:p>
            <w:pPr>
              <w:spacing w:after="0"/>
              <w:rPr>
                <w:sz w:val="17"/>
                <w:szCs w:val="17"/>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Spousal</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GRAT</w:t>
            </w: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2820" w:type="dxa"/>
            <w:vAlign w:val="bottom"/>
            <w:tcBorders>
              <w:bottom w:val="single" w:sz="8" w:color="2C2C2C"/>
            </w:tcBorders>
            <w:gridSpan w:val="5"/>
          </w:tcPr>
          <w:p>
            <w:pPr>
              <w:spacing w:after="0"/>
              <w:rPr>
                <w:sz w:val="8"/>
                <w:szCs w:val="8"/>
                <w:color w:val="auto"/>
              </w:rPr>
            </w:pPr>
          </w:p>
        </w:tc>
        <w:tc>
          <w:tcPr>
            <w:tcW w:w="2680" w:type="dxa"/>
            <w:vAlign w:val="bottom"/>
            <w:tcBorders>
              <w:bottom w:val="single" w:sz="8" w:color="2C2C2C"/>
            </w:tcBorders>
            <w:gridSpan w:val="5"/>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6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24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80" w:type="dxa"/>
            <w:vAlign w:val="bottom"/>
          </w:tcPr>
          <w:p>
            <w:pPr>
              <w:ind w:left="16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4"/>
          </w:tcPr>
          <w:p>
            <w:pPr>
              <w:ind w:left="2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980" w:type="dxa"/>
            <w:vAlign w:val="bottom"/>
          </w:tcPr>
          <w:p>
            <w:pPr>
              <w:ind w:left="16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4"/>
          </w:tcPr>
          <w:p>
            <w:pPr>
              <w:ind w:left="2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980" w:type="dxa"/>
            <w:vAlign w:val="bottom"/>
          </w:tcPr>
          <w:p>
            <w:pPr>
              <w:ind w:left="160"/>
              <w:spacing w:after="0"/>
              <w:rPr>
                <w:sz w:val="20"/>
                <w:szCs w:val="20"/>
                <w:color w:val="auto"/>
              </w:rPr>
            </w:pPr>
            <w:r>
              <w:rPr>
                <w:rFonts w:ascii="Arial" w:cs="Arial" w:eastAsia="Arial" w:hAnsi="Arial"/>
                <w:sz w:val="11"/>
                <w:szCs w:val="11"/>
                <w:b w:val="1"/>
                <w:bCs w:val="1"/>
                <w:color w:val="auto"/>
              </w:rPr>
              <w:t>Securities</w:t>
            </w:r>
          </w:p>
        </w:tc>
        <w:tc>
          <w:tcPr>
            <w:tcW w:w="148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gridSpan w:val="2"/>
          </w:tcPr>
          <w:p>
            <w:pPr>
              <w:ind w:left="2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80" w:type="dxa"/>
            <w:vAlign w:val="bottom"/>
          </w:tcPr>
          <w:p>
            <w:pPr>
              <w:ind w:left="160"/>
              <w:spacing w:after="0"/>
              <w:rPr>
                <w:sz w:val="20"/>
                <w:szCs w:val="20"/>
                <w:color w:val="auto"/>
              </w:rPr>
            </w:pPr>
            <w:r>
              <w:rPr>
                <w:rFonts w:ascii="Arial" w:cs="Arial" w:eastAsia="Arial" w:hAnsi="Arial"/>
                <w:sz w:val="11"/>
                <w:szCs w:val="11"/>
                <w:b w:val="1"/>
                <w:bCs w:val="1"/>
                <w:color w:val="auto"/>
              </w:rPr>
              <w:t>Acquired (A)</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4"/>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80" w:type="dxa"/>
            <w:vAlign w:val="bottom"/>
          </w:tcPr>
          <w:p>
            <w:pPr>
              <w:ind w:left="160"/>
              <w:spacing w:after="0"/>
              <w:rPr>
                <w:sz w:val="20"/>
                <w:szCs w:val="20"/>
                <w:color w:val="auto"/>
              </w:rPr>
            </w:pPr>
            <w:r>
              <w:rPr>
                <w:rFonts w:ascii="Arial" w:cs="Arial" w:eastAsia="Arial" w:hAnsi="Arial"/>
                <w:sz w:val="11"/>
                <w:szCs w:val="11"/>
                <w:b w:val="1"/>
                <w:bCs w:val="1"/>
                <w:color w:val="auto"/>
              </w:rPr>
              <w:t>or 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4"/>
          </w:tcPr>
          <w:p>
            <w:pPr>
              <w:ind w:left="2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80" w:type="dxa"/>
            <w:vAlign w:val="bottom"/>
          </w:tcPr>
          <w:p>
            <w:pPr>
              <w:ind w:left="160"/>
              <w:spacing w:after="0"/>
              <w:rPr>
                <w:sz w:val="20"/>
                <w:szCs w:val="20"/>
                <w:color w:val="auto"/>
              </w:rPr>
            </w:pPr>
            <w:r>
              <w:rPr>
                <w:rFonts w:ascii="Arial" w:cs="Arial" w:eastAsia="Arial" w:hAnsi="Arial"/>
                <w:sz w:val="11"/>
                <w:szCs w:val="11"/>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80" w:type="dxa"/>
            <w:vAlign w:val="bottom"/>
          </w:tcPr>
          <w:p>
            <w:pPr>
              <w:ind w:left="160"/>
              <w:spacing w:after="0"/>
              <w:rPr>
                <w:sz w:val="20"/>
                <w:szCs w:val="20"/>
                <w:color w:val="auto"/>
              </w:rPr>
            </w:pPr>
            <w:r>
              <w:rPr>
                <w:rFonts w:ascii="Arial" w:cs="Arial" w:eastAsia="Arial" w:hAnsi="Arial"/>
                <w:sz w:val="11"/>
                <w:szCs w:val="11"/>
                <w:b w:val="1"/>
                <w:bCs w:val="1"/>
                <w:color w:val="auto"/>
              </w:rPr>
              <w:t>3, 4 and 5)</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98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spacing w:after="0"/>
              <w:rPr>
                <w:sz w:val="20"/>
                <w:szCs w:val="20"/>
                <w:color w:val="auto"/>
              </w:rPr>
            </w:pPr>
            <w:r>
              <w:rPr>
                <w:rFonts w:ascii="Arial" w:cs="Arial" w:eastAsia="Arial" w:hAnsi="Arial"/>
                <w:sz w:val="11"/>
                <w:szCs w:val="11"/>
                <w:b w:val="1"/>
                <w:bCs w:val="1"/>
                <w:color w:val="auto"/>
              </w:rPr>
              <w:t>Expiration</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980" w:type="dxa"/>
            <w:vAlign w:val="bottom"/>
          </w:tcPr>
          <w:p>
            <w:pPr>
              <w:ind w:left="160"/>
              <w:spacing w:after="0"/>
              <w:rPr>
                <w:sz w:val="20"/>
                <w:szCs w:val="20"/>
                <w:color w:val="auto"/>
              </w:rPr>
            </w:pPr>
            <w:r>
              <w:rPr>
                <w:rFonts w:ascii="Arial" w:cs="Arial" w:eastAsia="Arial" w:hAnsi="Arial"/>
                <w:sz w:val="11"/>
                <w:szCs w:val="11"/>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20" w:type="dxa"/>
            <w:vAlign w:val="bottom"/>
            <w:gridSpan w:val="2"/>
          </w:tcPr>
          <w:p>
            <w:pPr>
              <w:ind w:left="20"/>
              <w:spacing w:after="0"/>
              <w:rPr>
                <w:sz w:val="20"/>
                <w:szCs w:val="20"/>
                <w:color w:val="auto"/>
              </w:rPr>
            </w:pPr>
            <w:r>
              <w:rPr>
                <w:rFonts w:ascii="Arial" w:cs="Arial" w:eastAsia="Arial" w:hAnsi="Arial"/>
                <w:sz w:val="11"/>
                <w:szCs w:val="11"/>
                <w:b w:val="1"/>
                <w:bCs w:val="1"/>
                <w:color w:val="auto"/>
              </w:rPr>
              <w:t>Title</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Nqso</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119,782</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Times New Roman" w:cs="Times New Roman" w:eastAsia="Times New Roman" w:hAnsi="Times New Roman"/>
                <w:sz w:val="13"/>
                <w:szCs w:val="13"/>
                <w:color w:val="0000FF"/>
              </w:rPr>
              <w:t>(Right to</w:t>
            </w:r>
          </w:p>
        </w:tc>
        <w:tc>
          <w:tcPr>
            <w:tcW w:w="620" w:type="dxa"/>
            <w:vAlign w:val="bottom"/>
          </w:tcPr>
          <w:p>
            <w:pPr>
              <w:ind w:left="180"/>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156.35</w:t>
            </w:r>
          </w:p>
        </w:tc>
        <w:tc>
          <w:tcPr>
            <w:tcW w:w="140" w:type="dxa"/>
            <w:vAlign w:val="bottom"/>
          </w:tcPr>
          <w:p>
            <w:pPr>
              <w:spacing w:after="0"/>
              <w:rPr>
                <w:sz w:val="11"/>
                <w:szCs w:val="11"/>
                <w:color w:val="auto"/>
              </w:rPr>
            </w:pPr>
          </w:p>
        </w:tc>
        <w:tc>
          <w:tcPr>
            <w:tcW w:w="1060" w:type="dxa"/>
            <w:vAlign w:val="bottom"/>
          </w:tcPr>
          <w:p>
            <w:pPr>
              <w:ind w:left="260"/>
              <w:spacing w:after="0" w:line="128" w:lineRule="exact"/>
              <w:rPr>
                <w:sz w:val="20"/>
                <w:szCs w:val="20"/>
                <w:color w:val="auto"/>
              </w:rPr>
            </w:pPr>
            <w:r>
              <w:rPr>
                <w:rFonts w:ascii="Times New Roman" w:cs="Times New Roman" w:eastAsia="Times New Roman" w:hAnsi="Times New Roman"/>
                <w:sz w:val="13"/>
                <w:szCs w:val="13"/>
                <w:color w:val="0000FF"/>
              </w:rPr>
              <w:t>03/04/2026</w:t>
            </w: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line="128" w:lineRule="exact"/>
              <w:rPr>
                <w:sz w:val="20"/>
                <w:szCs w:val="20"/>
                <w:color w:val="auto"/>
              </w:rPr>
            </w:pPr>
            <w:r>
              <w:rPr>
                <w:rFonts w:ascii="Times New Roman" w:cs="Times New Roman" w:eastAsia="Times New Roman" w:hAnsi="Times New Roman"/>
                <w:sz w:val="13"/>
                <w:szCs w:val="13"/>
                <w:color w:val="0000FF"/>
              </w:rPr>
              <w:t>M</w:t>
            </w:r>
          </w:p>
        </w:tc>
        <w:tc>
          <w:tcPr>
            <w:tcW w:w="980" w:type="dxa"/>
            <w:vAlign w:val="bottom"/>
          </w:tcPr>
          <w:p>
            <w:pPr>
              <w:ind w:left="440"/>
              <w:spacing w:after="0" w:line="128" w:lineRule="exact"/>
              <w:rPr>
                <w:sz w:val="20"/>
                <w:szCs w:val="20"/>
                <w:color w:val="auto"/>
              </w:rPr>
            </w:pPr>
            <w:r>
              <w:rPr>
                <w:rFonts w:ascii="Times New Roman" w:cs="Times New Roman" w:eastAsia="Times New Roman" w:hAnsi="Times New Roman"/>
                <w:sz w:val="13"/>
                <w:szCs w:val="13"/>
                <w:color w:val="0000FF"/>
              </w:rPr>
              <w:t>119,782</w:t>
            </w:r>
          </w:p>
        </w:tc>
        <w:tc>
          <w:tcPr>
            <w:tcW w:w="780" w:type="dxa"/>
            <w:vAlign w:val="bottom"/>
            <w:gridSpan w:val="2"/>
          </w:tcPr>
          <w:p>
            <w:pPr>
              <w:ind w:left="40"/>
              <w:spacing w:after="0" w:line="128" w:lineRule="exact"/>
              <w:rPr>
                <w:sz w:val="20"/>
                <w:szCs w:val="20"/>
                <w:color w:val="auto"/>
              </w:rPr>
            </w:pPr>
            <w:r>
              <w:rPr>
                <w:rFonts w:ascii="Times New Roman" w:cs="Times New Roman" w:eastAsia="Times New Roman" w:hAnsi="Times New Roman"/>
                <w:sz w:val="13"/>
                <w:szCs w:val="13"/>
                <w:color w:val="0000FF"/>
              </w:rPr>
              <w:t>05/03/2018</w:t>
            </w:r>
          </w:p>
        </w:tc>
        <w:tc>
          <w:tcPr>
            <w:tcW w:w="700" w:type="dxa"/>
            <w:vAlign w:val="bottom"/>
          </w:tcPr>
          <w:p>
            <w:pPr>
              <w:ind w:left="20"/>
              <w:spacing w:after="0" w:line="128" w:lineRule="exact"/>
              <w:rPr>
                <w:sz w:val="20"/>
                <w:szCs w:val="20"/>
                <w:color w:val="auto"/>
              </w:rPr>
            </w:pPr>
            <w:r>
              <w:rPr>
                <w:rFonts w:ascii="Times New Roman" w:cs="Times New Roman" w:eastAsia="Times New Roman" w:hAnsi="Times New Roman"/>
                <w:sz w:val="13"/>
                <w:szCs w:val="13"/>
                <w:color w:val="0000FF"/>
              </w:rPr>
              <w:t>05/03/2026</w:t>
            </w:r>
          </w:p>
        </w:tc>
        <w:tc>
          <w:tcPr>
            <w:tcW w:w="620" w:type="dxa"/>
            <w:vAlign w:val="bottom"/>
            <w:gridSpan w:val="2"/>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220"/>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60" w:type="dxa"/>
            <w:vAlign w:val="bottom"/>
          </w:tcPr>
          <w:p>
            <w:pPr>
              <w:ind w:left="360"/>
              <w:spacing w:after="0" w:line="128" w:lineRule="exact"/>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1"/>
                <w:szCs w:val="11"/>
                <w:color w:val="auto"/>
              </w:rPr>
            </w:pPr>
          </w:p>
        </w:tc>
        <w:tc>
          <w:tcPr>
            <w:tcW w:w="640" w:type="dxa"/>
            <w:vAlign w:val="bottom"/>
          </w:tcPr>
          <w:p>
            <w:pPr>
              <w:ind w:left="32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ind w:right="151"/>
              <w:spacing w:after="0" w:line="140" w:lineRule="exact"/>
              <w:rPr>
                <w:sz w:val="20"/>
                <w:szCs w:val="20"/>
                <w:color w:val="auto"/>
              </w:rPr>
            </w:pPr>
            <w:r>
              <w:rPr>
                <w:rFonts w:ascii="Times New Roman" w:cs="Times New Roman" w:eastAsia="Times New Roman" w:hAnsi="Times New Roman"/>
                <w:sz w:val="13"/>
                <w:szCs w:val="13"/>
                <w:color w:val="0000FF"/>
                <w:w w:val="94"/>
              </w:rPr>
              <w:t>Stock</w:t>
            </w: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98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-1742440</wp:posOffset>
            </wp:positionV>
            <wp:extent cx="28575" cy="17475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174752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26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Non-market exercise of a total of 119,872 stock options expiring May 3, 2026 wherein 84,285 shares, in the aggregate, issuable pursuant to the exercise of these options were withheld by the Company to cover the option exercise price and tax withholding, with the remaining shares delivered to the reporting person.</w:t>
      </w:r>
    </w:p>
    <w:p>
      <w:pPr>
        <w:spacing w:after="0" w:line="19" w:lineRule="exact"/>
        <w:rPr>
          <w:rFonts w:ascii="Times New Roman" w:cs="Times New Roman" w:eastAsia="Times New Roman" w:hAnsi="Times New Roman"/>
          <w:sz w:val="13"/>
          <w:szCs w:val="13"/>
          <w:color w:val="008000"/>
        </w:rPr>
      </w:pPr>
    </w:p>
    <w:p>
      <w:pPr>
        <w:ind w:left="40" w:right="340"/>
        <w:spacing w:after="0" w:line="23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include 2,414 Dividend Equivalents (DEs) granted pursuant to the Amgen Inc. Second Amended and Restated 2009 Equity Incentive Plan and subject to a qualifying dividend reinvestment plan. DEs are credited to the reporting person's unvested Restricted Stock Units and are paid out in shares of the Company's common stock on a one-to-one basis according to the vesting schedule, along with a cash payment for any remaining fractional share amount.</w:t>
      </w:r>
    </w:p>
    <w:p>
      <w:pPr>
        <w:spacing w:after="0" w:line="3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Robert A. Bradway</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03/05/2026</w:t>
            </w:r>
          </w:p>
        </w:tc>
      </w:tr>
      <w:tr>
        <w:trPr>
          <w:trHeight w:val="20"/>
        </w:trPr>
        <w:tc>
          <w:tcPr>
            <w:tcW w:w="14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70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96482" TargetMode="External"/><Relationship Id="rId14" Type="http://schemas.openxmlformats.org/officeDocument/2006/relationships/hyperlink" Target="http://www.sec.gov/cgi-bin/browse-edgar?action=getcompany&amp;CIK=000031815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2026-03-06T18:34:32Z</dcterms:created>
  <dcterms:modified xsi:type="dcterms:W3CDTF">2026-03-06T18:34:32Z</dcterms:modified>
</cp:coreProperties>
</file>