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pPr>
      <w:bookmarkStart w:id="0" w:name="amgn_defa_14a_2026_notic.htm"/>
      <w:bookmarkStart w:id="1" w:name="ksamgn_defa_14a_2026_notic"/>
      <w:bookmarkEnd w:id="0"/>
      <w:bookmarkEnd w:id="1"/>
      <w:r>
        <w:rPr/>
        <w:t> </w:t>
      </w:r>
      <w:r>
        <mc:AlternateContent>
          <mc:Choice Requires="wps">
            <w:drawing>
              <wp:anchor behindDoc="0" distT="0" distB="0" distL="0" distR="0" simplePos="0" locked="0" layoutInCell="1" allowOverlap="1" relativeHeight="2">
                <wp:simplePos x="0" y="0"/>
                <wp:positionH relativeFrom="page">
                  <wp:posOffset>3108960</wp:posOffset>
                </wp:positionH>
                <wp:positionV relativeFrom="page">
                  <wp:posOffset>914400</wp:posOffset>
                </wp:positionV>
                <wp:extent cx="1554480" cy="1165860"/>
                <wp:effectExtent l="0" t="0" r="0" b="0"/>
                <wp:wrapNone/>
                <wp:docPr id="1" name="Frame1"/>
                <a:graphic xmlns:a="http://schemas.openxmlformats.org/drawingml/2006/main">
                  <a:graphicData uri="http://schemas.microsoft.com/office/word/2010/wordprocessingShape">
                    <wps:wsp>
                      <wps:cNvSpPr txBox="1"/>
                      <wps:spPr>
                        <a:xfrm>
                          <a:off x="0" y="0"/>
                          <a:ext cx="1554480" cy="11658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22.4pt;height:91.8pt;mso-wrap-distance-left:0pt;mso-wrap-distance-right:0pt;mso-wrap-distance-top:0pt;mso-wrap-distance-bottom:0pt;margin-top:72pt;mso-position-vertical-relative:page;margin-left:244.8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center"/>
        <w:rPr>
          <w:rFonts w:ascii="Century Gothic;sans-serif" w:hAnsi="Century Gothic;sans-serif"/>
          <w:b/>
          <w:color w:val="000000"/>
          <w:sz w:val="18"/>
        </w:rPr>
      </w:pPr>
      <w:r>
        <w:rPr>
          <w:rFonts w:ascii="Century Gothic;sans-serif" w:hAnsi="Century Gothic;sans-serif"/>
          <w:b/>
          <w:color w:val="000000"/>
          <w:sz w:val="18"/>
        </w:rPr>
        <w:t>UNITED STATES</w:t>
      </w:r>
    </w:p>
    <w:p>
      <w:pPr>
        <w:pStyle w:val="TextBody"/>
        <w:bidi w:val="0"/>
        <w:spacing w:before="80" w:after="283"/>
        <w:jc w:val="center"/>
        <w:rPr>
          <w:rFonts w:ascii="Times New Roman" w:hAnsi="Times New Roman"/>
          <w:sz w:val="20"/>
        </w:rPr>
      </w:pPr>
      <w:r>
        <w:rPr>
          <w:rFonts w:ascii="Century Gothic;sans-serif" w:hAnsi="Century Gothic;sans-serif"/>
          <w:b/>
          <w:color w:val="000000"/>
          <w:sz w:val="18"/>
        </w:rPr>
        <w:t>SECURITIES AND EXCHANGE COMMISSION</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Century Gothic;sans-serif" w:hAnsi="Century Gothic;sans-serif"/>
          <w:color w:val="000000"/>
          <w:sz w:val="18"/>
        </w:rPr>
        <w:t>Washington, D.C. 20549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Century Gothic;sans-serif" w:hAnsi="Century Gothic;sans-serif"/>
          <w:b/>
          <w:color w:val="000000"/>
          <w:sz w:val="30"/>
        </w:rPr>
        <w:t>SCHEDULE 14A INFORMATION</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Century Gothic;sans-serif" w:hAnsi="Century Gothic;sans-serif"/>
          <w:b/>
          <w:color w:val="000000"/>
          <w:sz w:val="18"/>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Century Gothic;sans-serif" w:hAnsi="Century Gothic;sans-serif"/>
          <w:b/>
          <w:color w:val="000000"/>
          <w:sz w:val="18"/>
        </w:rPr>
        <w:t>Securities Exchange Act of 1934</w:t>
      </w:r>
      <w:r>
        <w:rPr>
          <w:rFonts w:ascii="Times New Roman" w:hAnsi="Times New Roman"/>
          <w:color w:val="000000"/>
          <w:sz w:val="20"/>
        </w:rPr>
        <w:t xml:space="preserve"> </w:t>
      </w:r>
    </w:p>
    <w:tbl>
      <w:tblPr>
        <w:tblW w:w="8027" w:type="dxa"/>
        <w:jc w:val="left"/>
        <w:tblInd w:w="0" w:type="dxa"/>
        <w:tblLayout w:type="fixed"/>
        <w:tblCellMar>
          <w:top w:w="28" w:type="dxa"/>
          <w:left w:w="28" w:type="dxa"/>
          <w:bottom w:w="28" w:type="dxa"/>
          <w:right w:w="28" w:type="dxa"/>
        </w:tblCellMar>
      </w:tblPr>
      <w:tblGrid>
        <w:gridCol w:w="3646"/>
        <w:gridCol w:w="4381"/>
      </w:tblGrid>
      <w:tr>
        <w:trPr/>
        <w:tc>
          <w:tcPr>
            <w:tcW w:w="3646"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Century Gothic;sans-serif" w:hAnsi="Century Gothic;sans-serif"/>
                <w:color w:val="000000"/>
                <w:sz w:val="19"/>
              </w:rPr>
              <w:t>Filed by the registrant </w:t>
            </w:r>
            <w:r>
              <w:rPr>
                <w:rFonts w:ascii="Times New Roman" w:hAnsi="Times New Roman"/>
                <w:color w:val="000000"/>
                <w:sz w:val="28"/>
              </w:rPr>
              <w:t>    </w:t>
            </w:r>
          </w:p>
        </w:tc>
        <w:tc>
          <w:tcPr>
            <w:tcW w:w="438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Century Gothic;sans-serif" w:hAnsi="Century Gothic;sans-serif"/>
                <w:color w:val="000000"/>
                <w:sz w:val="19"/>
              </w:rPr>
              <w:t>Filed by a party other than the registrant</w:t>
            </w:r>
          </w:p>
        </w:tc>
      </w:tr>
    </w:tbl>
    <w:tbl>
      <w:tblPr>
        <w:tblW w:w="9545" w:type="dxa"/>
        <w:jc w:val="left"/>
        <w:tblInd w:w="0" w:type="dxa"/>
        <w:tblLayout w:type="fixed"/>
        <w:tblCellMar>
          <w:top w:w="28" w:type="dxa"/>
          <w:left w:w="28" w:type="dxa"/>
          <w:bottom w:w="28" w:type="dxa"/>
          <w:right w:w="28" w:type="dxa"/>
        </w:tblCellMar>
      </w:tblPr>
      <w:tblGrid>
        <w:gridCol w:w="475"/>
        <w:gridCol w:w="9070"/>
      </w:tblGrid>
      <w:tr>
        <w:trPr/>
        <w:tc>
          <w:tcPr>
            <w:tcW w:w="475" w:type="dxa"/>
            <w:tcBorders/>
            <w:vAlign w:val="center"/>
          </w:tcPr>
          <w:p>
            <w:pPr>
              <w:pStyle w:val="TableContents"/>
              <w:bidi w:val="0"/>
              <w:spacing w:before="0" w:after="283"/>
              <w:jc w:val="left"/>
              <w:rPr>
                <w:sz w:val="4"/>
                <w:szCs w:val="4"/>
              </w:rPr>
            </w:pPr>
            <w:r>
              <w:rPr>
                <w:sz w:val="4"/>
                <w:szCs w:val="4"/>
              </w:rPr>
            </w:r>
          </w:p>
        </w:tc>
        <w:tc>
          <w:tcPr>
            <w:tcW w:w="9070" w:type="dxa"/>
            <w:tcBorders/>
            <w:vAlign w:val="center"/>
          </w:tcPr>
          <w:p>
            <w:pPr>
              <w:pStyle w:val="TableContents"/>
              <w:bidi w:val="0"/>
              <w:spacing w:before="0" w:after="283"/>
              <w:jc w:val="left"/>
              <w:rPr>
                <w:sz w:val="4"/>
                <w:szCs w:val="4"/>
              </w:rPr>
            </w:pPr>
            <w:r>
              <w:rPr>
                <w:sz w:val="4"/>
                <w:szCs w:val="4"/>
              </w:rPr>
            </w:r>
          </w:p>
        </w:tc>
      </w:tr>
      <w:tr>
        <w:trPr/>
        <w:tc>
          <w:tcPr>
            <w:tcW w:w="9545" w:type="dxa"/>
            <w:gridSpan w:val="2"/>
            <w:tcBorders>
              <w:top w:val="single" w:sz="6" w:space="0" w:color="000000"/>
              <w:left w:val="single" w:sz="6" w:space="0" w:color="000000"/>
              <w:bottom w:val="single" w:sz="6" w:space="0" w:color="000000"/>
              <w:right w:val="single" w:sz="6" w:space="0" w:color="000000"/>
            </w:tcBorders>
            <w:shd w:fill="D8E7F6" w:val="clear"/>
            <w:vAlign w:val="center"/>
          </w:tcPr>
          <w:p>
            <w:pPr>
              <w:pStyle w:val="TableContents"/>
              <w:bidi w:val="0"/>
              <w:jc w:val="left"/>
              <w:rPr/>
            </w:pPr>
            <w:r>
              <w:rPr/>
              <w:t> </w:t>
            </w:r>
          </w:p>
          <w:p>
            <w:pPr>
              <w:pStyle w:val="TableContents"/>
              <w:bidi w:val="0"/>
              <w:ind w:left="158" w:right="0" w:hanging="0"/>
              <w:jc w:val="left"/>
              <w:rPr>
                <w:rFonts w:ascii="Century Gothic;sans-serif" w:hAnsi="Century Gothic;sans-serif"/>
                <w:b/>
                <w:color w:val="000000"/>
                <w:sz w:val="22"/>
              </w:rPr>
            </w:pPr>
            <w:r>
              <w:rPr>
                <w:rFonts w:ascii="Century Gothic;sans-serif" w:hAnsi="Century Gothic;sans-serif"/>
                <w:b/>
                <w:color w:val="000000"/>
                <w:sz w:val="22"/>
              </w:rPr>
              <w:t>Check the appropriate box:</w:t>
            </w:r>
          </w:p>
          <w:p>
            <w:pPr>
              <w:pStyle w:val="TableContents"/>
              <w:bidi w:val="0"/>
              <w:spacing w:before="0" w:after="283"/>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left"/>
              <w:rPr/>
            </w:pPr>
            <w:r>
              <w:rPr/>
              <w:t> </w:t>
            </w:r>
          </w:p>
        </w:tc>
        <w:tc>
          <w:tcPr>
            <w:tcW w:w="907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07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color w:val="000000"/>
                <w:sz w:val="19"/>
              </w:rPr>
            </w:pPr>
            <w:r>
              <w:rPr>
                <w:rFonts w:ascii="Century Gothic;sans-serif" w:hAnsi="Century Gothic;sans-serif"/>
                <w:color w:val="000000"/>
                <w:sz w:val="19"/>
              </w:rPr>
              <w:t>Preliminary Proxy Statement</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07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07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color w:val="000000"/>
                <w:sz w:val="19"/>
              </w:rPr>
            </w:pPr>
            <w:r>
              <w:rPr>
                <w:rFonts w:ascii="Century Gothic;sans-serif" w:hAnsi="Century Gothic;sans-serif"/>
                <w:color w:val="000000"/>
                <w:sz w:val="19"/>
              </w:rPr>
              <w:t>CONFIDENTIAL, FOR USE OF THE COMMISSION ONLY (AS PERMITTED BY RULE 14A-6(E)(2))</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07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07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color w:val="000000"/>
                <w:sz w:val="19"/>
              </w:rPr>
            </w:pPr>
            <w:r>
              <w:rPr>
                <w:rFonts w:ascii="Century Gothic;sans-serif" w:hAnsi="Century Gothic;sans-serif"/>
                <w:color w:val="000000"/>
                <w:sz w:val="19"/>
              </w:rPr>
              <w:t>Definitive Proxy Statement</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07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07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color w:val="000000"/>
                <w:sz w:val="19"/>
              </w:rPr>
            </w:pPr>
            <w:r>
              <w:rPr>
                <w:rFonts w:ascii="Century Gothic;sans-serif" w:hAnsi="Century Gothic;sans-serif"/>
                <w:color w:val="000000"/>
                <w:sz w:val="19"/>
              </w:rPr>
              <w:t>Definitive Additional Materials</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07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07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color w:val="000000"/>
                <w:sz w:val="19"/>
              </w:rPr>
            </w:pPr>
            <w:r>
              <w:rPr>
                <w:rFonts w:ascii="Century Gothic;sans-serif" w:hAnsi="Century Gothic;sans-serif"/>
                <w:color w:val="000000"/>
                <w:sz w:val="19"/>
              </w:rPr>
              <w:t>Soliciting Material Pursuant to Section 240.14a-12</w:t>
            </w:r>
          </w:p>
          <w:p>
            <w:pPr>
              <w:pStyle w:val="TableContents"/>
              <w:bidi w:val="0"/>
              <w:spacing w:before="0" w:after="283"/>
              <w:ind w:left="144" w:right="0" w:firstLine="144"/>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Century Gothic;sans-serif" w:hAnsi="Century Gothic;sans-serif"/>
          <w:b/>
          <w:color w:val="0063C3"/>
          <w:sz w:val="48"/>
        </w:rPr>
        <w:t>AMGEN INC.</w:t>
      </w:r>
      <w:r>
        <w:rPr>
          <w:rFonts w:ascii="Times New Roman" w:hAnsi="Times New Roman"/>
          <w:color w:val="0063C3"/>
          <w:sz w:val="20"/>
        </w:rPr>
        <w:t xml:space="preserve"> </w:t>
      </w:r>
    </w:p>
    <w:p>
      <w:pPr>
        <w:pStyle w:val="TextBody"/>
        <w:bidi w:val="0"/>
        <w:spacing w:before="120" w:after="283"/>
        <w:jc w:val="center"/>
        <w:rPr>
          <w:rFonts w:ascii="Times New Roman" w:hAnsi="Times New Roman"/>
          <w:sz w:val="20"/>
        </w:rPr>
      </w:pPr>
      <w:r>
        <w:rPr>
          <w:rFonts w:ascii="Century Gothic;sans-serif" w:hAnsi="Century Gothic;sans-serif"/>
          <w:i/>
          <w:color w:val="000000"/>
          <w:sz w:val="22"/>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Century Gothic;sans-serif" w:hAnsi="Century Gothic;sans-serif"/>
          <w:i/>
          <w:color w:val="000000"/>
          <w:sz w:val="22"/>
        </w:rPr>
        <w:t>(Name of Person(s) Filing Proxy Statement, if other than the Registrant)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75"/>
        <w:gridCol w:w="9730"/>
      </w:tblGrid>
      <w:tr>
        <w:trPr/>
        <w:tc>
          <w:tcPr>
            <w:tcW w:w="475" w:type="dxa"/>
            <w:tcBorders/>
            <w:vAlign w:val="center"/>
          </w:tcPr>
          <w:p>
            <w:pPr>
              <w:pStyle w:val="TableContents"/>
              <w:bidi w:val="0"/>
              <w:spacing w:before="0" w:after="283"/>
              <w:jc w:val="left"/>
              <w:rPr>
                <w:sz w:val="4"/>
                <w:szCs w:val="4"/>
              </w:rPr>
            </w:pPr>
            <w:r>
              <w:rPr>
                <w:sz w:val="4"/>
                <w:szCs w:val="4"/>
              </w:rPr>
            </w:r>
          </w:p>
        </w:tc>
        <w:tc>
          <w:tcPr>
            <w:tcW w:w="9730"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6" w:space="0" w:color="000000"/>
              <w:left w:val="single" w:sz="6" w:space="0" w:color="000000"/>
              <w:bottom w:val="single" w:sz="8" w:space="0" w:color="000000"/>
              <w:right w:val="single" w:sz="6" w:space="0" w:color="000000"/>
            </w:tcBorders>
            <w:shd w:fill="D8E7F6" w:val="clear"/>
            <w:vAlign w:val="center"/>
          </w:tcPr>
          <w:p>
            <w:pPr>
              <w:pStyle w:val="TableContents"/>
              <w:bidi w:val="0"/>
              <w:jc w:val="left"/>
              <w:rPr/>
            </w:pPr>
            <w:r>
              <w:rPr/>
              <w:t> </w:t>
            </w:r>
          </w:p>
          <w:p>
            <w:pPr>
              <w:pStyle w:val="TableContents"/>
              <w:bidi w:val="0"/>
              <w:ind w:left="158" w:right="0" w:hanging="0"/>
              <w:jc w:val="left"/>
              <w:rPr>
                <w:rFonts w:ascii="Century Gothic;sans-serif" w:hAnsi="Century Gothic;sans-serif"/>
                <w:b/>
                <w:color w:val="000000"/>
                <w:sz w:val="22"/>
              </w:rPr>
            </w:pPr>
            <w:r>
              <w:rPr>
                <w:rFonts w:ascii="Century Gothic;sans-serif" w:hAnsi="Century Gothic;sans-serif"/>
                <w:b/>
                <w:color w:val="000000"/>
                <w:sz w:val="22"/>
              </w:rPr>
              <w:t>Payment of filing fee (check the appropriate box):</w:t>
            </w:r>
          </w:p>
          <w:p>
            <w:pPr>
              <w:pStyle w:val="TableContents"/>
              <w:bidi w:val="0"/>
              <w:spacing w:before="0" w:after="283"/>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left"/>
              <w:rPr/>
            </w:pPr>
            <w:r>
              <w:rPr/>
              <w:t> </w:t>
            </w:r>
          </w:p>
        </w:tc>
        <w:tc>
          <w:tcPr>
            <w:tcW w:w="973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73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b/>
                <w:color w:val="000000"/>
                <w:sz w:val="19"/>
              </w:rPr>
            </w:pPr>
            <w:r>
              <w:rPr>
                <w:rFonts w:ascii="Century Gothic;sans-serif" w:hAnsi="Century Gothic;sans-serif"/>
                <w:b/>
                <w:color w:val="000000"/>
                <w:sz w:val="19"/>
              </w:rPr>
              <w:t>No fee required.</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73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6"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730"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b/>
                <w:color w:val="000000"/>
                <w:sz w:val="19"/>
              </w:rPr>
            </w:pPr>
            <w:r>
              <w:rPr>
                <w:rFonts w:ascii="Century Gothic;sans-serif" w:hAnsi="Century Gothic;sans-serif"/>
                <w:b/>
                <w:color w:val="000000"/>
                <w:sz w:val="19"/>
              </w:rPr>
              <w:t>Fee paid previously with preliminary materials.</w:t>
            </w:r>
          </w:p>
          <w:p>
            <w:pPr>
              <w:pStyle w:val="TableContents"/>
              <w:bidi w:val="0"/>
              <w:spacing w:before="0" w:after="283"/>
              <w:ind w:left="144" w:right="0" w:firstLine="144"/>
              <w:jc w:val="left"/>
              <w:rPr/>
            </w:pPr>
            <w:r>
              <w:rPr/>
              <w:t> </w:t>
            </w:r>
          </w:p>
        </w:tc>
      </w:tr>
      <w:tr>
        <w:trPr/>
        <w:tc>
          <w:tcPr>
            <w:tcW w:w="475" w:type="dxa"/>
            <w:tcBorders>
              <w:left w:val="single" w:sz="6" w:space="0" w:color="000000"/>
              <w:right w:val="single" w:sz="4" w:space="0" w:color="000000"/>
            </w:tcBorders>
            <w:tcMar>
              <w:top w:w="0" w:type="dxa"/>
              <w:bottom w:w="0" w:type="dxa"/>
            </w:tcMar>
            <w:vAlign w:val="center"/>
          </w:tcPr>
          <w:p>
            <w:pPr>
              <w:pStyle w:val="TableContents"/>
              <w:bidi w:val="0"/>
              <w:spacing w:before="0" w:after="283"/>
              <w:ind w:left="0" w:right="0" w:firstLine="144"/>
              <w:jc w:val="center"/>
              <w:rPr/>
            </w:pPr>
            <w:r>
              <w:rPr/>
              <w:t> </w:t>
            </w:r>
          </w:p>
        </w:tc>
        <w:tc>
          <w:tcPr>
            <w:tcW w:w="9730" w:type="dxa"/>
            <w:tcBorders>
              <w:right w:val="single" w:sz="6" w:space="0" w:color="000000"/>
            </w:tcBorders>
            <w:tcMar>
              <w:top w:w="0" w:type="dxa"/>
              <w:left w:w="0" w:type="dxa"/>
              <w:bottom w:w="0" w:type="dxa"/>
            </w:tcMar>
            <w:vAlign w:val="center"/>
          </w:tcPr>
          <w:p>
            <w:pPr>
              <w:pStyle w:val="TableContents"/>
              <w:bidi w:val="0"/>
              <w:spacing w:before="0" w:after="283"/>
              <w:ind w:left="144" w:right="0" w:firstLine="144"/>
              <w:jc w:val="left"/>
              <w:rPr/>
            </w:pPr>
            <w:r>
              <w:rPr/>
              <w:t> </w:t>
            </w:r>
          </w:p>
        </w:tc>
      </w:tr>
      <w:tr>
        <w:trPr/>
        <w:tc>
          <w:tcPr>
            <w:tcW w:w="475" w:type="dxa"/>
            <w:tcBorders>
              <w:left w:val="single" w:sz="6" w:space="0" w:color="000000"/>
              <w:bottom w:val="single" w:sz="8" w:space="0" w:color="000000"/>
              <w:right w:val="single" w:sz="4" w:space="0" w:color="000000"/>
            </w:tcBorders>
            <w:tcMar>
              <w:top w:w="0" w:type="dxa"/>
            </w:tcMar>
            <w:vAlign w:val="center"/>
          </w:tcPr>
          <w:p>
            <w:pPr>
              <w:pStyle w:val="TableContents"/>
              <w:bidi w:val="0"/>
              <w:spacing w:before="0" w:after="283"/>
              <w:ind w:left="0" w:right="0" w:firstLine="144"/>
              <w:jc w:val="center"/>
              <w:rPr>
                <w:color w:val="000000"/>
              </w:rPr>
            </w:pPr>
            <w:r>
              <w:rPr>
                <w:color w:val="000000"/>
              </w:rPr>
              <w:t>☐</w:t>
            </w:r>
          </w:p>
        </w:tc>
        <w:tc>
          <w:tcPr>
            <w:tcW w:w="9730" w:type="dxa"/>
            <w:tcBorders>
              <w:bottom w:val="single" w:sz="8" w:space="0" w:color="000000"/>
              <w:right w:val="single" w:sz="6" w:space="0" w:color="000000"/>
            </w:tcBorders>
            <w:tcMar>
              <w:top w:w="0" w:type="dxa"/>
              <w:left w:w="0" w:type="dxa"/>
            </w:tcMar>
            <w:vAlign w:val="center"/>
          </w:tcPr>
          <w:p>
            <w:pPr>
              <w:pStyle w:val="TableContents"/>
              <w:bidi w:val="0"/>
              <w:ind w:left="144" w:right="0" w:firstLine="144"/>
              <w:jc w:val="left"/>
              <w:rPr>
                <w:rFonts w:ascii="Century Gothic;sans-serif" w:hAnsi="Century Gothic;sans-serif"/>
                <w:b/>
                <w:color w:val="000000"/>
                <w:sz w:val="19"/>
              </w:rPr>
            </w:pPr>
            <w:r>
              <w:rPr>
                <w:rFonts w:ascii="Century Gothic;sans-serif" w:hAnsi="Century Gothic;sans-serif"/>
                <w:b/>
                <w:color w:val="000000"/>
                <w:sz w:val="19"/>
              </w:rPr>
              <w:t>Fee computed on table in exhibit required by Item 25(b) per Exchange Act Rules 14a-6(i)(1) and 0-11.</w:t>
            </w:r>
          </w:p>
          <w:p>
            <w:pPr>
              <w:pStyle w:val="TableContents"/>
              <w:bidi w:val="0"/>
              <w:spacing w:before="0" w:after="283"/>
              <w:ind w:left="144" w:right="0" w:firstLine="144"/>
              <w:jc w:val="left"/>
              <w:rPr/>
            </w:pPr>
            <w:r>
              <w:rPr/>
              <w:t> </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FFFFFF"/>
          <w:sz w:val="2"/>
        </w:rPr>
        <w:t>Sample Your Vote Counts! AMGEN INC. 2026 Annual Meeting Vote by May 18, 2026 11:59 PM ET for shares held directly. For shares held in plans sponsored by Amgen or its subsidiaries, vote by May 14, 2026 11:59 PM ET. AMGEN INC. ONE AMGEN CENTER DRIVE THOUSAND OAKS, CA 91320-1799 ATTN: CORPORATE SECRETARY V91788-P49460 You invested in AMGEN INC. and it’s time to vote! You have the right to vote on proposals being presented at the Annual Meeting. This is an important notice regarding the availability of proxy materials for the stockholder meeting to be held on May 19, 2026. Get informed before you vote View the Notice of 2026 Annual Meeting of Stockholders, Proxy Statement, and 2025 Annual Report online OR you can receive a free paper or email copy of the material(s) by requesting prior to May 5,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May 19, 2026 11:00 A.M., Pacific Time For holders as of: March 20, 2026 Virtually at: www.virtualshareholdermeeting.com/AMGN2026 The Amgen Inc. 2026 Annual Meeting of Stockholders will be held solely by remote communication via the Internet. Although the Annual Meeting will not be held in person, stockholders will, to the extent possible, be afforded the same rights and opportunities to participate at the virtual meeting similarly to how they would participate at an in-person meeting. *Please check the meeting materials for any special requirements for meeting attendance.</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FFFFFF"/>
          <w:sz w:val="2"/>
        </w:rPr>
        <w:t>Sample Vote at www.ProxyVote.com THIS IS NOT A VOTABLE BALLOT This is an overview of the proposals being presented at the upcoming stockholder meeting. More complete proxy materials, which contain important information, are available on the Internet or by mail. Please follow the instructions on the reverse side to access and review the complete proxy materials before voting and to vote these important matters. Board Voting Items Recommends 1.To elect twelve directors to the Board of Directors of Amgen Inc. for a term of office expiring at the 2027 annual meeting of stockholders. The nominees for election to the Board of Directors are: 1a.Dr. Wanda M. AustinFor1b.Mr. Robert A. BradwayFor1c.Dr. Michael V. DrakeFor1d.Dr. Brian J. DrukerFor1e.Mr. Robert A. EckertFor1f.Mr. Greg C. GarlandFor1g.Mr. Charles M. Holley, Jr.For1h.Dr. S. Omar IshrakFor1i.Dr. Tyler JacksFor1j.Dr. Mary E. KlotmanFor1k.Ms. Ellen J. KullmanFor1l.Ms. Amy E. MilesFor2.Advisory vote to approve our executive compensation.For3.To ratify the selection of Ernst &amp; Young LLP as our independent registered public accountants for the fiscal year ending December 31, 2026.For4.Stockholder proposal to require an independent board chairman. Against NOTE: Such other business as may properly come before the meeting or any continuation, postponement, or adjournment thereof. Prefer to receive an email instead? While voting on www.ProxyVote.com, be sure to click “Delivery Settings”. V91789-P49460</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entury Gothic">
    <w:altName w:val="sans-serif"/>
    <w:charset w:val="01"/>
    <w:family w:val="auto"/>
    <w:pitch w:val="default"/>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3625</Characters>
  <CharactersWithSpaces>4307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